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9" w:type="dxa"/>
        <w:jc w:val="center"/>
        <w:shd w:val="clear" w:color="auto" w:fill="FFF9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9"/>
      </w:tblGrid>
      <w:tr w:rsidR="0054758B" w:rsidRPr="0054758B" w:rsidTr="00DC6064">
        <w:trPr>
          <w:tblHeader/>
          <w:jc w:val="center"/>
        </w:trPr>
        <w:tc>
          <w:tcPr>
            <w:tcW w:w="14739" w:type="dxa"/>
            <w:tcBorders>
              <w:top w:val="outset" w:sz="2" w:space="0" w:color="auto"/>
              <w:left w:val="outset" w:sz="2" w:space="0" w:color="auto"/>
              <w:bottom w:val="single" w:sz="12" w:space="0" w:color="7A362B"/>
              <w:right w:val="outset" w:sz="2" w:space="0" w:color="auto"/>
            </w:tcBorders>
            <w:shd w:val="clear" w:color="auto" w:fill="F6E4D2"/>
            <w:tcMar>
              <w:top w:w="12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758B" w:rsidRPr="0054758B" w:rsidRDefault="0054758B" w:rsidP="0054758B">
            <w:pPr>
              <w:spacing w:after="0" w:line="300" w:lineRule="atLeast"/>
              <w:jc w:val="center"/>
              <w:rPr>
                <w:rFonts w:eastAsia="Times New Roman" w:cs="Arial"/>
                <w:color w:val="000000"/>
                <w:szCs w:val="28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ВАКАНТНЫЕ МЕСТА ДЛЯ ПРИЕМА (ПЕРЕВОДА)</w:t>
            </w:r>
            <w:r w:rsidRPr="0054758B">
              <w:rPr>
                <w:rFonts w:eastAsia="Times New Roman" w:cs="Arial"/>
                <w:color w:val="000000"/>
                <w:szCs w:val="28"/>
                <w:lang w:eastAsia="ru-RU"/>
              </w:rPr>
              <w:t> на текущую дату:</w:t>
            </w:r>
          </w:p>
        </w:tc>
      </w:tr>
    </w:tbl>
    <w:p w:rsidR="0054758B" w:rsidRPr="0054758B" w:rsidRDefault="0054758B" w:rsidP="0054758B">
      <w:pPr>
        <w:shd w:val="clear" w:color="auto" w:fill="FFF9F1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75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4740" w:type="dxa"/>
        <w:shd w:val="clear" w:color="auto" w:fill="FFF9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8"/>
        <w:gridCol w:w="2552"/>
      </w:tblGrid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2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i/>
                <w:color w:val="000000"/>
                <w:sz w:val="22"/>
                <w:bdr w:val="none" w:sz="0" w:space="0" w:color="auto" w:frame="1"/>
                <w:lang w:eastAsia="ru-RU"/>
              </w:rPr>
              <w:t>Наименование образовательной программы   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i/>
                <w:color w:val="000000"/>
                <w:sz w:val="22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i/>
                <w:color w:val="000000"/>
                <w:sz w:val="22"/>
                <w:bdr w:val="none" w:sz="0" w:space="0" w:color="auto" w:frame="1"/>
                <w:lang w:eastAsia="ru-RU"/>
              </w:rPr>
              <w:t> Наличие вакантных мест для приема (перевода)</w:t>
            </w:r>
          </w:p>
        </w:tc>
      </w:tr>
      <w:tr w:rsidR="0054758B" w:rsidRPr="0054758B" w:rsidTr="00DC6064">
        <w:tc>
          <w:tcPr>
            <w:tcW w:w="14740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2CC" w:themeFill="accent4" w:themeFillTint="33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Default="0054758B" w:rsidP="005475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ДОПОЛНИТЕЛЬНЫЕ ПРЕДПРОФЕССИОНАЛ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ЬНЫЕ ПРОГРАММЫ (ДПП) В ОБЛАСТИ </w:t>
            </w:r>
            <w:r w:rsidRPr="0054758B"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ИСКУССТВ,  </w:t>
            </w:r>
          </w:p>
          <w:p w:rsidR="0054758B" w:rsidRPr="0054758B" w:rsidRDefault="0054758B" w:rsidP="005475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реализуемые за счет средст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бюджета городского округа Краснотурьинск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предпрофессиональная программа в области изобразительного искусства "ЖИВОПИСЬ"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(5 лет)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предпрофессиональная программа в области изобраз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ительного искусства "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ЖИВОПИСЬ"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(8 лет)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</w:tcPr>
          <w:p w:rsidR="0054758B" w:rsidRPr="0054758B" w:rsidRDefault="0054758B" w:rsidP="0054758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предпрофессиональная программа в области изоб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разительного искусства "ДИЗАЙН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(5 лет)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</w:tcPr>
          <w:p w:rsidR="0054758B" w:rsidRPr="0054758B" w:rsidRDefault="0054758B" w:rsidP="00DC6064">
            <w:pPr>
              <w:spacing w:after="0" w:line="240" w:lineRule="auto"/>
              <w:ind w:right="146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Дополнительная предпрофессиональная программа в области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декоративно-прикладного искусства "ДЕКОРАТИВНО-ПРИКЛАДНОЕ ТВОРЧЕСТВО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(8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54758B" w:rsidRPr="0054758B" w:rsidTr="00DC6064">
        <w:tc>
          <w:tcPr>
            <w:tcW w:w="14740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2CC" w:themeFill="accent4" w:themeFillTint="33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Default="0054758B" w:rsidP="00DC60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ДОПОЛНИТЕЛЬНЫЕ ОБЩЕРАЗВИВАЮЩИЕ ПРОГРАММЫ (ДОП), </w:t>
            </w:r>
          </w:p>
          <w:p w:rsidR="0054758B" w:rsidRPr="0054758B" w:rsidRDefault="00DC6064" w:rsidP="00DC6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реализуемые за счет средст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бюджета городского округа Краснотурьинск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DC606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Дополнительная </w:t>
            </w:r>
            <w:r w:rsidR="00DC6064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общеразвивающая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прог</w:t>
            </w:r>
            <w:r w:rsidR="00DC6064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рамма в области искусств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"</w:t>
            </w:r>
            <w:r w:rsidR="00DC6064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"</w:t>
            </w:r>
            <w:r w:rsidR="00DC6064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(3 года)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общеразвивающая прог</w:t>
            </w:r>
            <w:r w:rsidR="00DC6064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рамма в области искусств "ИЗОБРАЗИТЕЛЬНОЕ ИСКУССТВО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"</w:t>
            </w:r>
            <w:r w:rsidR="00DC6064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(4 года)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54758B" w:rsidRPr="0054758B" w:rsidTr="0054758B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DC6064" w:rsidP="00DC6064">
            <w:pPr>
              <w:spacing w:after="0" w:line="240" w:lineRule="auto"/>
              <w:ind w:right="146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общеразвивающая прог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рамма в области искусств "ДЕКОРАТИВНО-ПРИКЛАДНОЕ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ИСКУССТВО"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(4 года)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54758B" w:rsidRPr="0054758B" w:rsidRDefault="0054758B" w:rsidP="0054758B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DC6064" w:rsidRPr="0054758B" w:rsidTr="00DC6064">
        <w:tc>
          <w:tcPr>
            <w:tcW w:w="14740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2CC" w:themeFill="accent4" w:themeFillTint="33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DC6064" w:rsidP="00A814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ДОПОЛНИТЕЛЬНЫЕ ОБЩЕРАЗВИВАЮЩИЕ ПРОГРАММЫ (ДОП), реализуемые за счет средств физических и (или) юридических лиц (платные образовательные услуги) на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текущий учебный год</w:t>
            </w:r>
          </w:p>
        </w:tc>
      </w:tr>
      <w:tr w:rsidR="00DC6064" w:rsidRPr="0054758B" w:rsidTr="00A81480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9048F1" w:rsidP="00A8148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в области изобразительного искусства "ПОДГОТОВКА ДЕТЕЙ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6 ЛЕТ 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 ОБУЧЕНИЮ В ШКОЛЕ"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(1 год, 4 часа в неделю)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DC6064" w:rsidP="00A81480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DC6064" w:rsidRPr="0054758B" w:rsidTr="00A81480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9048F1" w:rsidP="00A8148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в области изобразительного искусства "ПОДГОТОВКА ДЕТЕЙ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6 ЛЕТ 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 ОБУЧЕНИЮ В ШКОЛЕ"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(1 год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, 6 часов в неделю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6" w:space="0" w:color="E6C4A5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DC6064" w:rsidP="00A81480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DC6064" w:rsidRPr="0054758B" w:rsidTr="009048F1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DC6064" w:rsidP="009048F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в области изобразительного искусства "</w:t>
            </w:r>
            <w:r w:rsidR="009048F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ДИЗАЙН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"</w:t>
            </w:r>
            <w:r w:rsidR="009048F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(1 год, 6 часов в неделю)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  <w:hideMark/>
          </w:tcPr>
          <w:p w:rsidR="00DC6064" w:rsidRPr="0054758B" w:rsidRDefault="00DC6064" w:rsidP="00A81480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  <w:tr w:rsidR="009048F1" w:rsidRPr="0054758B" w:rsidTr="009048F1">
        <w:tc>
          <w:tcPr>
            <w:tcW w:w="12188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</w:tcPr>
          <w:p w:rsidR="009048F1" w:rsidRPr="0054758B" w:rsidRDefault="009048F1" w:rsidP="009048F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в области изобразительного искусства 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ПОДГОТОВКА В СПУЗы и ВУЗы</w:t>
            </w: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(1 год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, 9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часов в неделю)</w:t>
            </w:r>
          </w:p>
        </w:tc>
        <w:tc>
          <w:tcPr>
            <w:tcW w:w="255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9F1"/>
            <w:tcMar>
              <w:top w:w="225" w:type="dxa"/>
              <w:left w:w="240" w:type="dxa"/>
              <w:bottom w:w="210" w:type="dxa"/>
              <w:right w:w="0" w:type="dxa"/>
            </w:tcMar>
          </w:tcPr>
          <w:p w:rsidR="009048F1" w:rsidRPr="0054758B" w:rsidRDefault="009048F1" w:rsidP="009048F1">
            <w:pPr>
              <w:spacing w:after="0" w:line="240" w:lineRule="auto"/>
              <w:ind w:left="-102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4758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вакантных мест нет</w:t>
            </w:r>
          </w:p>
        </w:tc>
      </w:tr>
    </w:tbl>
    <w:p w:rsidR="0054758B" w:rsidRDefault="0054758B">
      <w:bookmarkStart w:id="0" w:name="_GoBack"/>
      <w:bookmarkEnd w:id="0"/>
    </w:p>
    <w:sectPr w:rsidR="0054758B" w:rsidSect="00DC6064">
      <w:pgSz w:w="16838" w:h="11906" w:orient="landscape"/>
      <w:pgMar w:top="851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8B"/>
    <w:rsid w:val="0021617A"/>
    <w:rsid w:val="0054758B"/>
    <w:rsid w:val="0074219B"/>
    <w:rsid w:val="009048F1"/>
    <w:rsid w:val="00D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0FD2"/>
  <w15:chartTrackingRefBased/>
  <w15:docId w15:val="{0DD6D6C5-B796-4C6E-9F4C-163F767E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2024-08-28T09:52:00Z</dcterms:created>
  <dcterms:modified xsi:type="dcterms:W3CDTF">2024-08-28T10:23:00Z</dcterms:modified>
</cp:coreProperties>
</file>