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6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>03.10.2023</w:t>
        <w:tab/>
      </w:r>
    </w:p>
    <w:p>
      <w:pPr>
        <w:pStyle w:val="NormalWeb"/>
        <w:widowControl w:val="false"/>
        <w:spacing w:lineRule="auto" w:line="276" w:beforeAutospacing="0" w:before="0" w:after="280"/>
        <w:rPr>
          <w:rFonts w:ascii="Montserrat" w:hAnsi="Montserrat"/>
          <w:b/>
          <w:b/>
          <w:bCs/>
          <w:sz w:val="28"/>
          <w:szCs w:val="28"/>
        </w:rPr>
      </w:pPr>
      <w:r>
        <w:rPr>
          <w:rFonts w:ascii="Montserrat" w:hAnsi="Montserrat"/>
          <w:b/>
          <w:bCs/>
          <w:sz w:val="28"/>
          <w:szCs w:val="28"/>
        </w:rPr>
      </w:r>
    </w:p>
    <w:p>
      <w:pPr>
        <w:pStyle w:val="NormalWeb"/>
        <w:widowControl w:val="false"/>
        <w:spacing w:lineRule="auto" w:line="276" w:before="280" w:after="240"/>
        <w:jc w:val="center"/>
        <w:rPr>
          <w:rFonts w:ascii="Montserrat" w:hAnsi="Montserrat"/>
          <w:b/>
          <w:b/>
          <w:bCs/>
          <w:iCs/>
          <w:sz w:val="28"/>
          <w:szCs w:val="28"/>
        </w:rPr>
      </w:pPr>
      <w:r>
        <w:rPr>
          <w:rFonts w:ascii="Montserrat" w:hAnsi="Montserrat"/>
          <w:b/>
          <w:bCs/>
          <w:iCs/>
          <w:sz w:val="28"/>
          <w:szCs w:val="28"/>
        </w:rPr>
        <w:t>В 2023 году ОСФР по Краснодарскому краю оформило более 16 тысяч электронных сертификатов на технические средства реабилитации</w:t>
      </w:r>
    </w:p>
    <w:p>
      <w:pPr>
        <w:pStyle w:val="NormalWeb"/>
        <w:widowControl w:val="false"/>
        <w:spacing w:beforeAutospacing="0" w:before="0" w:afterAutospacing="0" w:after="24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С 1 января 2023 года было оформлено 16 256 электронных сертификатов на ТСР. Из них уже использовано 5 355 сертификатов, из которых 5 308 – по инвалидности, 47 – пострадавшими на производстве.</w:t>
      </w:r>
    </w:p>
    <w:p>
      <w:pPr>
        <w:pStyle w:val="NormalWeb"/>
        <w:widowControl w:val="false"/>
        <w:spacing w:beforeAutospacing="0" w:before="0" w:afterAutospacing="0" w:after="24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 xml:space="preserve">Напомним, что электронный сертификат – это сервис обеспечения ТСР, который является дополнением к уже действующим способам обеспечения средствами реабилитации. Он представляет собой запись в электронном реестре ГИС ЭС, привязанную к номеру карты МИР. Сервис организован так, что деньги, выделенные на покупку, не перечисляются на карту, а резервируются под каждое ТСР в бюджете Федеральным казначейством, и напрямую отправляются продавцу при покупке изделия. </w:t>
      </w:r>
    </w:p>
    <w:p>
      <w:pPr>
        <w:pStyle w:val="NormalWeb"/>
        <w:widowControl w:val="false"/>
        <w:spacing w:before="280" w:after="24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Сертификат содержит следующую информацию:</w:t>
      </w:r>
    </w:p>
    <w:p>
      <w:pPr>
        <w:pStyle w:val="NormalWeb"/>
        <w:widowControl w:val="false"/>
        <w:numPr>
          <w:ilvl w:val="0"/>
          <w:numId w:val="1"/>
        </w:numPr>
        <w:spacing w:before="280" w:after="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Вид и количество ТСР, которое можно приобрести по сертификату</w:t>
      </w:r>
    </w:p>
    <w:p>
      <w:pPr>
        <w:pStyle w:val="NormalWeb"/>
        <w:widowControl w:val="false"/>
        <w:numPr>
          <w:ilvl w:val="0"/>
          <w:numId w:val="1"/>
        </w:numPr>
        <w:spacing w:before="0" w:after="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Максимальная цена за единицу ТСР, которую можно оплатить сертификатом</w:t>
      </w:r>
    </w:p>
    <w:p>
      <w:pPr>
        <w:pStyle w:val="NormalWeb"/>
        <w:widowControl w:val="false"/>
        <w:numPr>
          <w:ilvl w:val="0"/>
          <w:numId w:val="1"/>
        </w:numPr>
        <w:spacing w:before="0" w:after="24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Срок действия, в течение которого можно использовать сертификат для оплаты ТСР.</w:t>
      </w:r>
    </w:p>
    <w:p>
      <w:pPr>
        <w:pStyle w:val="NormalWeb"/>
        <w:widowControl w:val="false"/>
        <w:spacing w:before="280" w:after="24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 xml:space="preserve">Жители Кубани могут оформить электронные сертификаты на технические средства реабилитации (ТСР), обратившись в </w:t>
      </w:r>
      <w:hyperlink r:id="rId2">
        <w:r>
          <w:rPr>
            <w:rFonts w:ascii="Montserrat" w:hAnsi="Montserrat"/>
            <w:bCs/>
            <w:iCs/>
            <w:sz w:val="28"/>
            <w:szCs w:val="28"/>
          </w:rPr>
          <w:t>клиентские службы</w:t>
        </w:r>
      </w:hyperlink>
      <w:r>
        <w:rPr>
          <w:rFonts w:ascii="Montserrat" w:hAnsi="Montserrat"/>
          <w:bCs/>
          <w:iCs/>
          <w:sz w:val="28"/>
          <w:szCs w:val="28"/>
        </w:rPr>
        <w:t xml:space="preserve"> Социального фонда России по Краснодарскому краю, а также через МФЦ или портал Госуслуг.</w:t>
      </w:r>
    </w:p>
    <w:p>
      <w:pPr>
        <w:pStyle w:val="NormalWeb"/>
        <w:widowControl w:val="false"/>
        <w:spacing w:before="280" w:after="24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 xml:space="preserve">Необходимые документы для оформления электронного сертификата через Отделение СФР и МФЦ: </w:t>
      </w:r>
    </w:p>
    <w:p>
      <w:pPr>
        <w:pStyle w:val="NormalWeb"/>
        <w:widowControl w:val="false"/>
        <w:numPr>
          <w:ilvl w:val="0"/>
          <w:numId w:val="2"/>
        </w:numPr>
        <w:spacing w:before="280" w:after="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Заявление</w:t>
      </w:r>
    </w:p>
    <w:p>
      <w:pPr>
        <w:pStyle w:val="NormalWeb"/>
        <w:widowControl w:val="false"/>
        <w:numPr>
          <w:ilvl w:val="0"/>
          <w:numId w:val="2"/>
        </w:numPr>
        <w:spacing w:before="0" w:after="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документ, удостоверяющий личность</w:t>
      </w:r>
    </w:p>
    <w:p>
      <w:pPr>
        <w:pStyle w:val="NormalWeb"/>
        <w:widowControl w:val="false"/>
        <w:numPr>
          <w:ilvl w:val="0"/>
          <w:numId w:val="2"/>
        </w:numPr>
        <w:spacing w:before="0" w:after="24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 xml:space="preserve"> </w:t>
      </w:r>
      <w:r>
        <w:rPr>
          <w:rFonts w:ascii="Montserrat" w:hAnsi="Montserrat"/>
          <w:bCs/>
          <w:iCs/>
          <w:sz w:val="28"/>
          <w:szCs w:val="28"/>
        </w:rPr>
        <w:t>номер карты МИР, выпущенной любым банком.</w:t>
      </w:r>
    </w:p>
    <w:p>
      <w:pPr>
        <w:pStyle w:val="NormalWeb"/>
        <w:widowControl w:val="false"/>
        <w:spacing w:before="280" w:afterAutospacing="0" w:after="24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При оформлении через портал Госуслуг – заявление и номер карты «МИР».</w:t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Autospacing="0" w:after="0"/>
        <w:jc w:val="center"/>
        <w:rPr>
          <w:b/>
          <w:b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</w:t>
      </w:r>
      <w:bookmarkStart w:id="0" w:name="_GoBack"/>
      <w:bookmarkEnd w:id="0"/>
    </w:p>
    <w:sectPr>
      <w:headerReference w:type="default" r:id="rId9"/>
      <w:headerReference w:type="first" r:id="rId10"/>
      <w:footerReference w:type="even" r:id="rId11"/>
      <w:footerReference w:type="default" r:id="rId12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205"/>
      <w:gridCol w:w="2459"/>
      <w:gridCol w:w="2247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0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4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24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8" wp14:anchorId="3C0016B5">
              <wp:simplePos x="0" y="0"/>
              <wp:positionH relativeFrom="leftMargin">
                <wp:posOffset>0</wp:posOffset>
              </wp:positionH>
              <wp:positionV relativeFrom="margin">
                <wp:posOffset>0</wp:posOffset>
              </wp:positionV>
              <wp:extent cx="819150" cy="433705"/>
              <wp:effectExtent l="0" t="635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9000" cy="433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64.45pt;height:34.1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9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1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1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sfr.gov.ru/branches/krasnodar/info/~0/7415" TargetMode="External"/><Relationship Id="rId3" Type="http://schemas.openxmlformats.org/officeDocument/2006/relationships/image" Target="media/image1.png"/><Relationship Id="rId4" Type="http://schemas.openxmlformats.org/officeDocument/2006/relationships/hyperlink" Target="http://vk.com/sfr.krasnodarskiykray" TargetMode="External"/><Relationship Id="rId5" Type="http://schemas.openxmlformats.org/officeDocument/2006/relationships/image" Target="media/image2.jpeg"/><Relationship Id="rId6" Type="http://schemas.openxmlformats.org/officeDocument/2006/relationships/hyperlink" Target="http://ok.ru/sfr.krasnodarskiykray" TargetMode="External"/><Relationship Id="rId7" Type="http://schemas.openxmlformats.org/officeDocument/2006/relationships/image" Target="media/image3.png"/><Relationship Id="rId8" Type="http://schemas.openxmlformats.org/officeDocument/2006/relationships/hyperlink" Target="https://t.me/sfr_krasnodarskiykray" TargetMode="Externa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numbering" Target="numbering.xml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<Relationship Id="rId17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DFAD98-4947-40AB-B912-EE0206FB4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LibreOffice/7.3.5.2$Windows_X86_64 LibreOffice_project/184fe81b8c8c30d8b5082578aee2fed2ea847c01</Application>
  <AppVersion>15.0000</AppVersion>
  <Pages>1</Pages>
  <Words>233</Words>
  <Characters>1500</Characters>
  <CharactersWithSpaces>1720</CharactersWithSpaces>
  <Paragraphs>28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2023-10-03T05:12:00Z</dcterms:created>
  <dc:creator>Обиход Владимир Анатольевич</dc:creator>
  <dc:description/>
  <dc:language>ru-RU</dc:language>
  <cp:lastModifiedBy>Чеботарь Ольга Андреевна</cp:lastModifiedBy>
  <cp:lastPrinted>2023-10-03T16:18:59Z</cp:lastPrinted>
  <dcterms:modified xsi:type="dcterms:W3CDTF">2023-10-03T05:12:00Z</dcterms:modified>
  <cp:revision>2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