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>
          <w:b/>
          <w:b/>
        </w:rPr>
      </w:pPr>
      <w:r>
        <w:rPr>
          <w:b/>
        </w:rPr>
      </w:r>
    </w:p>
    <w:p>
      <w:pPr>
        <w:pStyle w:val="NormalWeb"/>
        <w:spacing w:before="280" w:after="280"/>
        <w:jc w:val="center"/>
        <w:rPr>
          <w:b/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«Белая» зарплата – основа будущей пенсии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i/>
          <w:i/>
          <w:color w:val="212121"/>
        </w:rPr>
      </w:pPr>
      <w:r>
        <w:rPr>
          <w:i/>
          <w:color w:val="212121"/>
        </w:rPr>
        <w:t>Основу будущей пенсии работника закладывает его работодатель, который ежемесячно уплачивает страховые взносы в систему обязательного пенсионного страхования. Взносы учитываются на индивидуальном лицевом счете, который Социальный фонд России (СФР) открывает каждому работающему гражданину. Номер этого счета (СНИЛС) указан в уведомлении о регистрации в системе индивидуального (персонифицированного) учета.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 xml:space="preserve">Управляющий Отделением Социального фонда России по Краснодарскому краю </w:t>
      </w:r>
      <w:r>
        <w:rPr>
          <w:b/>
          <w:color w:val="212121"/>
        </w:rPr>
        <w:t>Татьяна Ткаченко</w:t>
      </w:r>
      <w:r>
        <w:rPr>
          <w:color w:val="212121"/>
        </w:rPr>
        <w:t xml:space="preserve"> подчеркнула, что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суммы страховых взносов, которую уплачивает работодатель за конкретного работника в ОСФР, напрямую зависит будущая пенсия гражданина.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 xml:space="preserve">«При «серых» схемах оплаты труда страховые взносы либо уплачиваются в минимальном размере, либо не уплачиваются совсем. В таких случаях средства не поступают на индивидуальный лицевой счета гражданина в СФР и будущая пенсия формируется в минимальном размере», — заключила она.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Соглашаясь на зарплату в конверте, граждане лишают себя не только будущей пенсии, но и прав социальной защиты — нет гарантий оплаты отпуска, листа нетрудоспособности, в том числе по беременности и родам, и т.д.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Контролируйте Вашего работодателя — проверяйте состояние своего индивидуального лицевого счета. Удобнее всего это делать с помощью личного кабинета гражданина на сайте СФР. Чтобы войти в него, используйте логин и пароль от портала Госуслуг.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Также обратиться за выпиской из индивидуального лицевого счета можно лично в клиентские службы СФР в городах и районах Краснодарского края, МФЦ или онлайн на портале Госуслуг.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«Белая» зарплата – основа будущей пенсии.</w:t>
      </w:r>
    </w:p>
    <w:p>
      <w:pPr>
        <w:pStyle w:val="Normal"/>
        <w:spacing w:lineRule="auto" w:line="276" w:before="0" w:after="240"/>
        <w:jc w:val="center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/>
          <w:color w:val="488DCD"/>
        </w:rPr>
      </w:pPr>
      <w:r>
        <w:rPr>
          <w:b/>
          <w:color w:val="488DCD"/>
        </w:rPr>
        <w:t>Ч</w:t>
      </w:r>
      <w:bookmarkStart w:id="0" w:name="_GoBack"/>
      <w:bookmarkEnd w:id="0"/>
      <w:r>
        <w:rPr>
          <w:b/>
          <w:color w:val="488DCD"/>
        </w:rPr>
        <w:t>ИТАЙТЕ НАС:</w:t>
      </w:r>
    </w:p>
    <w:p>
      <w:pPr>
        <w:pStyle w:val="NormalWeb"/>
        <w:spacing w:lineRule="auto" w:line="276" w:beforeAutospacing="0" w:before="0" w:afterAutospacing="0" w:after="0"/>
        <w:jc w:val="both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4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DEA66-E49D-4F92-9C1B-9D8CEF2F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LibreOffice/7.3.5.2$Windows_X86_64 LibreOffice_project/184fe81b8c8c30d8b5082578aee2fed2ea847c01</Application>
  <AppVersion>15.0000</AppVersion>
  <Pages>1</Pages>
  <Words>227</Words>
  <Characters>1526</Characters>
  <CharactersWithSpaces>1778</CharactersWithSpaces>
  <Paragraphs>14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2023-05-24T07:01:00Z</dcterms:created>
  <dc:creator>Обиход Владимир Анатольевич</dc:creator>
  <dc:description/>
  <dc:language>ru-RU</dc:language>
  <cp:lastModifiedBy>Обиход Владимир Анатольевич</cp:lastModifiedBy>
  <cp:lastPrinted>2023-06-27T15:51:59Z</cp:lastPrinted>
  <dcterms:modified xsi:type="dcterms:W3CDTF">2023-06-27T05:28:00Z</dcterms:modified>
  <cp:revision>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