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2962" w:leader="none"/>
          <w:tab w:val="center" w:pos="4898" w:leader="none"/>
        </w:tabs>
        <w:rPr>
          <w:sz w:val="16"/>
          <w:szCs w:val="16"/>
        </w:rPr>
      </w:pPr>
      <w:r>
        <w:rPr>
          <w:sz w:val="16"/>
          <w:szCs w:val="16"/>
        </w:rPr>
        <mc:AlternateContent>
          <mc:Choice Requires="wps">
            <w:drawing>
              <wp:anchor behindDoc="1" distT="635" distB="22225" distL="114300" distR="114300" simplePos="0" locked="0" layoutInCell="0" allowOverlap="1" relativeHeight="6"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2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2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27.02.2024</w:t>
      </w:r>
    </w:p>
    <w:p>
      <w:pPr>
        <w:pStyle w:val="1"/>
        <w:tabs>
          <w:tab w:val="clear" w:pos="708"/>
          <w:tab w:val="left" w:pos="2962" w:leader="none"/>
          <w:tab w:val="center" w:pos="4898" w:leader="none"/>
        </w:tabs>
        <w:rPr>
          <w:rFonts w:ascii="Montserrat" w:hAnsi="Montserrat"/>
          <w:b w:val="false"/>
          <w:b w:val="false"/>
          <w:sz w:val="16"/>
          <w:szCs w:val="16"/>
        </w:rPr>
      </w:pPr>
      <w:r>
        <w:rPr>
          <w:rFonts w:ascii="Montserrat" w:hAnsi="Montserrat"/>
          <w:b w:val="false"/>
          <w:sz w:val="16"/>
          <w:szCs w:val="16"/>
        </w:rPr>
        <w:tab/>
      </w:r>
    </w:p>
    <w:p>
      <w:pPr>
        <w:pStyle w:val="NormalWeb"/>
        <w:spacing w:before="280" w:after="240"/>
        <w:jc w:val="both"/>
        <w:rPr>
          <w:rFonts w:ascii="Montserrat" w:hAnsi="Montserrat"/>
          <w:b/>
          <w:b/>
          <w:bCs/>
          <w:iCs/>
          <w:sz w:val="28"/>
          <w:szCs w:val="28"/>
        </w:rPr>
      </w:pPr>
      <w:r>
        <w:rPr>
          <w:rFonts w:ascii="Montserrat" w:hAnsi="Montserrat"/>
          <w:b/>
          <w:bCs/>
          <w:iCs/>
          <w:sz w:val="28"/>
          <w:szCs w:val="28"/>
        </w:rPr>
        <w:t>Региональное Отделение Социального фонда России в 2023 году обеспечило техническими средствами реабилитации 53 тысячи жителей Кубани</w:t>
      </w:r>
    </w:p>
    <w:p>
      <w:pPr>
        <w:pStyle w:val="NormalWeb"/>
        <w:widowControl w:val="false"/>
        <w:spacing w:lineRule="auto" w:line="360" w:beforeAutospacing="0" w:before="0" w:after="280"/>
        <w:jc w:val="both"/>
        <w:rPr>
          <w:rFonts w:ascii="Montserrat" w:hAnsi="Montserrat"/>
          <w:bCs/>
          <w:iCs/>
          <w:sz w:val="28"/>
          <w:szCs w:val="28"/>
        </w:rPr>
      </w:pPr>
      <w:r>
        <w:rPr>
          <w:rFonts w:ascii="Montserrat" w:hAnsi="Montserrat"/>
          <w:bCs/>
          <w:iCs/>
          <w:sz w:val="28"/>
          <w:szCs w:val="28"/>
        </w:rPr>
        <w:t xml:space="preserve">В 2023 году Отделение Социального фонда России по Краснодарскому краю обеспечило </w:t>
      </w:r>
      <w:r>
        <w:rPr>
          <w:rFonts w:cs="Arial" w:ascii="Montserrat" w:hAnsi="Montserrat"/>
          <w:color w:val="2C2D2E"/>
          <w:sz w:val="28"/>
          <w:szCs w:val="28"/>
          <w:shd w:fill="FFFFFF" w:val="clear"/>
        </w:rPr>
        <w:t xml:space="preserve">52885 жителей Кубани </w:t>
      </w:r>
      <w:r>
        <w:rPr>
          <w:rFonts w:ascii="Montserrat" w:hAnsi="Montserrat"/>
          <w:bCs/>
          <w:iCs/>
          <w:sz w:val="28"/>
          <w:szCs w:val="28"/>
        </w:rPr>
        <w:t>техническими средствами реабилитации (ТСР). Среди наиболее востребованных изделий среди них оказались кресла-коляски, протезы и протезно-ортопедические изделия (в том числе обувь), абсорбирующее белье и подгузники, специальные средства при нарушениях функций выделения.</w:t>
      </w:r>
    </w:p>
    <w:p>
      <w:pPr>
        <w:pStyle w:val="NormalWeb"/>
        <w:widowControl w:val="false"/>
        <w:spacing w:lineRule="auto" w:line="360" w:beforeAutospacing="0" w:before="0" w:after="280"/>
        <w:jc w:val="both"/>
        <w:rPr>
          <w:rFonts w:ascii="Montserrat" w:hAnsi="Montserrat"/>
          <w:bCs/>
          <w:iCs/>
          <w:sz w:val="28"/>
          <w:szCs w:val="28"/>
        </w:rPr>
      </w:pPr>
      <w:r>
        <w:rPr>
          <w:rFonts w:ascii="Montserrat" w:hAnsi="Montserrat"/>
          <w:bCs/>
          <w:iCs/>
          <w:sz w:val="28"/>
          <w:szCs w:val="28"/>
        </w:rPr>
        <w:t xml:space="preserve">На Кубани основной объем ТСР гражданам в прошлом году был обеспечен за счет закупок по госконтрактам. Таким способом средства реабилитации были предоставлены более </w:t>
      </w:r>
      <w:r>
        <w:rPr>
          <w:rFonts w:cs="Arial" w:ascii="Montserrat" w:hAnsi="Montserrat"/>
          <w:color w:val="2C2D2E"/>
          <w:sz w:val="28"/>
          <w:szCs w:val="28"/>
          <w:shd w:fill="FFFFFF" w:val="clear"/>
        </w:rPr>
        <w:t>35 тысячам</w:t>
      </w:r>
      <w:r>
        <w:rPr>
          <w:rFonts w:ascii="Montserrat" w:hAnsi="Montserrat"/>
          <w:bCs/>
          <w:iCs/>
          <w:sz w:val="28"/>
          <w:szCs w:val="28"/>
        </w:rPr>
        <w:t xml:space="preserve"> человек. Еще свыше </w:t>
      </w:r>
      <w:r>
        <w:rPr>
          <w:rFonts w:cs="Arial" w:ascii="Montserrat" w:hAnsi="Montserrat"/>
          <w:color w:val="2C2D2E"/>
          <w:sz w:val="28"/>
          <w:szCs w:val="28"/>
          <w:shd w:fill="FFFFFF" w:val="clear"/>
        </w:rPr>
        <w:t>11 тысяч</w:t>
      </w:r>
      <w:r>
        <w:rPr>
          <w:rFonts w:ascii="Montserrat" w:hAnsi="Montserrat"/>
          <w:bCs/>
          <w:iCs/>
          <w:sz w:val="28"/>
          <w:szCs w:val="28"/>
        </w:rPr>
        <w:t xml:space="preserve"> граждан самостоятельно приобрели необходимые изделия, а затем компенсировали понесенные расходы в региональном ОСФР. По электронному сертификату ТСР получили почти 6 тысяч кубанцев.</w:t>
      </w:r>
    </w:p>
    <w:p>
      <w:pPr>
        <w:pStyle w:val="NormalWeb"/>
        <w:widowControl w:val="false"/>
        <w:spacing w:lineRule="auto" w:line="360" w:beforeAutospacing="0" w:before="0" w:after="280"/>
        <w:jc w:val="both"/>
        <w:rPr>
          <w:rFonts w:ascii="Montserrat" w:hAnsi="Montserrat"/>
          <w:bCs/>
          <w:iCs/>
          <w:sz w:val="28"/>
          <w:szCs w:val="28"/>
        </w:rPr>
      </w:pPr>
      <w:r>
        <w:rPr>
          <w:rFonts w:ascii="Montserrat" w:hAnsi="Montserrat"/>
          <w:bCs/>
          <w:iCs/>
          <w:sz w:val="28"/>
          <w:szCs w:val="28"/>
        </w:rPr>
        <w:t xml:space="preserve">Граждане самостоятельно выбирают, как получить средства для реабилитации и протезно-ортопедические изделия. Чтобы заказать ТСР через Социальный фонд, необходимо подать соответствующее заявление. ТСР можно приобрести самостоятельно, а затем обратиться в фонд за компенсацией. Также существует возможность приобрести ТСР в специализированном магазине с использованием электронного сертификата. </w:t>
      </w:r>
    </w:p>
    <w:p>
      <w:pPr>
        <w:pStyle w:val="NormalWeb"/>
        <w:widowControl w:val="false"/>
        <w:spacing w:lineRule="auto" w:line="360" w:beforeAutospacing="0" w:before="0" w:after="280"/>
        <w:jc w:val="both"/>
        <w:rPr>
          <w:rFonts w:ascii="Montserrat" w:hAnsi="Montserrat"/>
          <w:bCs/>
          <w:iCs/>
          <w:sz w:val="28"/>
          <w:szCs w:val="28"/>
        </w:rPr>
      </w:pPr>
      <w:r>
        <w:rPr>
          <w:rFonts w:ascii="Montserrat" w:hAnsi="Montserrat"/>
          <w:bCs/>
          <w:iCs/>
          <w:sz w:val="28"/>
          <w:szCs w:val="28"/>
        </w:rPr>
        <w:t>По электронному сертификату сегодня есть возможность приобрести около 300 различных видов технических средств реабилитации, включая индивидуальные изделия, сделанные на заказ. Социальный фонд России разработал электронный каталог ТСР для подбора технических средств реабилитации (</w:t>
      </w:r>
      <w:hyperlink r:id="rId2">
        <w:r>
          <w:rPr>
            <w:rFonts w:ascii="Montserrat" w:hAnsi="Montserrat"/>
            <w:bCs/>
            <w:iCs/>
            <w:sz w:val="28"/>
            <w:szCs w:val="28"/>
          </w:rPr>
          <w:t>https://ktsr.sfr.gov.ru/</w:t>
        </w:r>
      </w:hyperlink>
      <w:r>
        <w:rPr>
          <w:rFonts w:ascii="Montserrat" w:hAnsi="Montserrat"/>
          <w:bCs/>
          <w:iCs/>
          <w:sz w:val="28"/>
          <w:szCs w:val="28"/>
        </w:rPr>
        <w:t>). Кроме того, на сайте можно рассчитать предельную стоимость электронного сертификата, а также получить другую полезную информацию. Электронный сертификат оформляется в течение 10 дней, тогда как закупка по контракту может занять более месяца.</w:t>
      </w:r>
    </w:p>
    <w:p>
      <w:pPr>
        <w:pStyle w:val="NormalWeb"/>
        <w:widowControl w:val="false"/>
        <w:spacing w:lineRule="auto" w:line="360" w:beforeAutospacing="0" w:before="0" w:after="280"/>
        <w:jc w:val="both"/>
        <w:rPr>
          <w:rFonts w:ascii="Montserrat" w:hAnsi="Montserrat"/>
          <w:bCs/>
          <w:iCs/>
          <w:sz w:val="28"/>
          <w:szCs w:val="28"/>
        </w:rPr>
      </w:pPr>
      <w:r>
        <w:rPr>
          <w:rFonts w:ascii="Montserrat" w:hAnsi="Montserrat"/>
          <w:bCs/>
          <w:iCs/>
          <w:sz w:val="28"/>
          <w:szCs w:val="28"/>
        </w:rPr>
        <w:t>Заявки на обеспечение техническими средствами реабилитации принимаются онлайн на портале Госуслуг, в клиентских офисах ОСФР по Краснодарскому краю и в отделениях МФЦ.</w:t>
      </w:r>
    </w:p>
    <w:p>
      <w:pPr>
        <w:pStyle w:val="NormalWeb"/>
        <w:widowControl w:val="false"/>
        <w:spacing w:lineRule="auto" w:line="276" w:beforeAutospacing="0" w:before="0" w:afterAutospacing="0" w:after="240"/>
        <w:jc w:val="both"/>
        <w:rPr>
          <w:rFonts w:ascii="Montserrat" w:hAnsi="Montserrat"/>
          <w:b/>
          <w:b/>
          <w:color w:val="58595B"/>
          <w:sz w:val="28"/>
          <w:szCs w:val="28"/>
        </w:rPr>
      </w:pPr>
      <w:r>
        <w:rPr>
          <w:rFonts w:ascii="Montserrat" w:hAnsi="Montserrat"/>
          <w:b/>
          <w:color w:val="58595B"/>
          <w:sz w:val="28"/>
          <w:szCs w:val="28"/>
        </w:rPr>
      </w:r>
    </w:p>
    <w:p>
      <w:pPr>
        <w:pStyle w:val="NormalWeb"/>
        <w:widowControl w:val="false"/>
        <w:spacing w:lineRule="auto" w:line="276" w:beforeAutospacing="0" w:before="0" w:afterAutospacing="0" w:after="240"/>
        <w:jc w:val="center"/>
        <w:rPr>
          <w:rFonts w:ascii="Montserrat" w:hAnsi="Montserrat"/>
          <w:b/>
          <w:b/>
          <w:color w:val="58595B"/>
          <w:sz w:val="28"/>
          <w:szCs w:val="28"/>
        </w:rPr>
      </w:pPr>
      <w:r>
        <w:rPr>
          <w:rFonts w:ascii="Montserrat" w:hAnsi="Montserrat"/>
          <w:b/>
          <w:color w:val="58595B"/>
          <w:sz w:val="28"/>
          <w:szCs w:val="28"/>
        </w:rPr>
        <w:t>Мы в социальных сетях:</w:t>
      </w:r>
    </w:p>
    <w:p>
      <w:pPr>
        <w:pStyle w:val="NormalWeb"/>
        <w:spacing w:beforeAutospacing="0" w:before="0" w:afterAutospacing="0" w:after="0"/>
        <w:jc w:val="center"/>
        <w:rPr>
          <w:rFonts w:ascii="Myriad Pro" w:hAnsi="Myriad Pro"/>
          <w:b/>
          <w:b/>
          <w:color w:val="488DCD"/>
          <w:sz w:val="16"/>
          <w:szCs w:val="16"/>
        </w:rPr>
      </w:pPr>
      <w:r>
        <w:rPr/>
        <w:drawing>
          <wp:inline distT="0" distB="0" distL="0" distR="0">
            <wp:extent cx="306070" cy="306070"/>
            <wp:effectExtent l="0" t="0" r="0" b="0"/>
            <wp:docPr id="3" name="Рисунок 13" desc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3" descr="">
                      <a:hlinkClick r:id="rId4"/>
                    </pic:cNvPr>
                    <pic:cNvPicPr>
                      <a:picLocks noChangeAspect="1" noChangeArrowheads="1"/>
                    </pic:cNvPicPr>
                  </pic:nvPicPr>
                  <pic:blipFill>
                    <a:blip r:embed="rId3"/>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4" name="Рисунок 6" descr="">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6" descr="">
                      <a:hlinkClick r:id="rId6"/>
                    </pic:cNvPr>
                    <pic:cNvPicPr>
                      <a:picLocks noChangeAspect="1" noChangeArrowheads="1"/>
                    </pic:cNvPicPr>
                  </pic:nvPicPr>
                  <pic:blipFill>
                    <a:blip r:embed="rId5"/>
                    <a:stretch>
                      <a:fillRect/>
                    </a:stretch>
                  </pic:blipFill>
                  <pic:spPr bwMode="auto">
                    <a:xfrm>
                      <a:off x="0" y="0"/>
                      <a:ext cx="306070" cy="306070"/>
                    </a:xfrm>
                    <a:prstGeom prst="rect">
                      <a:avLst/>
                    </a:prstGeom>
                  </pic:spPr>
                </pic:pic>
              </a:graphicData>
            </a:graphic>
          </wp:inline>
        </w:drawing>
      </w:r>
      <w:r>
        <w:rPr>
          <w:rFonts w:ascii="Myriad Pro" w:hAnsi="Myriad Pro"/>
          <w:b/>
          <w:color w:val="488DCD"/>
        </w:rPr>
        <w:t xml:space="preserve">    </w:t>
      </w:r>
      <w:r>
        <w:rPr/>
        <w:drawing>
          <wp:inline distT="0" distB="0" distL="0" distR="0">
            <wp:extent cx="306070" cy="306070"/>
            <wp:effectExtent l="0" t="0" r="0" b="0"/>
            <wp:docPr id="5" name="Рисунок 8" desc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8" descr="">
                      <a:hlinkClick r:id="rId8"/>
                    </pic:cNvPr>
                    <pic:cNvPicPr>
                      <a:picLocks noChangeAspect="1" noChangeArrowheads="1"/>
                    </pic:cNvPicPr>
                  </pic:nvPicPr>
                  <pic:blipFill>
                    <a:blip r:embed="rId7"/>
                    <a:stretch>
                      <a:fillRect/>
                    </a:stretch>
                  </pic:blipFill>
                  <pic:spPr bwMode="auto">
                    <a:xfrm>
                      <a:off x="0" y="0"/>
                      <a:ext cx="306070" cy="306070"/>
                    </a:xfrm>
                    <a:prstGeom prst="rect">
                      <a:avLst/>
                    </a:prstGeom>
                  </pic:spPr>
                </pic:pic>
              </a:graphicData>
            </a:graphic>
          </wp:inline>
        </w:drawing>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
        <w:jc w:val="right"/>
        <w:rPr>
          <w:rFonts w:ascii="Montserrat" w:hAnsi="Montserrat"/>
          <w:b/>
          <w:b/>
          <w:sz w:val="16"/>
          <w:szCs w:val="16"/>
        </w:rPr>
      </w:pPr>
      <w:r>
        <w:rPr>
          <w:rFonts w:ascii="Montserrat" w:hAnsi="Montserrat"/>
          <w:b/>
          <w:sz w:val="16"/>
          <w:szCs w:val="16"/>
        </w:rPr>
      </w:r>
    </w:p>
    <w:p>
      <w:pPr>
        <w:pStyle w:val="NormalWeb"/>
        <w:spacing w:beforeAutospacing="0" w:before="0" w:afterAutospacing="0" w:after="0"/>
        <w:rPr>
          <w:rFonts w:ascii="Myriad Pro" w:hAnsi="Myriad Pro"/>
          <w:b/>
          <w:b/>
          <w:color w:val="488DCD"/>
          <w:sz w:val="16"/>
          <w:szCs w:val="16"/>
        </w:rPr>
      </w:pPr>
      <w:r>
        <w:rPr/>
      </w:r>
      <w:bookmarkStart w:id="0" w:name="_GoBack"/>
      <w:bookmarkStart w:id="1" w:name="_GoBack"/>
      <w:bookmarkEnd w:id="1"/>
    </w:p>
    <w:sectPr>
      <w:headerReference w:type="default" r:id="rId9"/>
      <w:headerReference w:type="first" r:id="rId10"/>
      <w:footerReference w:type="even" r:id="rId11"/>
      <w:footerReference w:type="default" r:id="rId12"/>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alibri">
    <w:charset w:val="cc"/>
    <w:family w:val="roman"/>
    <w:pitch w:val="variable"/>
  </w:font>
  <w:font w:name="Liberation Sans">
    <w:altName w:val="Arial"/>
    <w:charset w:val="cc"/>
    <w:family w:val="swiss"/>
    <w:pitch w:val="variable"/>
  </w:font>
  <w:font w:name="Tahoma">
    <w:charset w:val="cc"/>
    <w:family w:val="roman"/>
    <w:pitch w:val="variable"/>
  </w:font>
  <w:font w:name="Verdana">
    <w:charset w:val="cc"/>
    <w:family w:val="roman"/>
    <w:pitch w:val="variable"/>
  </w:font>
  <w:font w:name="Montserrat">
    <w:charset w:val="cc"/>
    <w:family w:val="roman"/>
    <w:pitch w:val="variable"/>
  </w:font>
  <w:font w:name="Myriad Pro">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12"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Style21"/>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1"/>
      <w:ind w:right="360" w:hanging="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6"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pic:spPr>
                    </pic:pic>
                  </a:graphicData>
                </a:graphic>
              </wp:inline>
            </w:drawing>
          </w:r>
        </w:p>
      </w:tc>
      <w:tc>
        <w:tcPr>
          <w:tcW w:w="208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lang w:val="en-US"/>
      </w:rPr>
    </w:pPr>
    <w:r>
      <w:rPr>
        <w:lang w:val="en-US"/>
      </w:rPr>
      <mc:AlternateContent>
        <mc:Choice Requires="wps">
          <w:drawing>
            <wp:anchor behindDoc="1" distT="0" distB="0" distL="0" distR="5715" simplePos="0" locked="0" layoutInCell="0" allowOverlap="1" relativeHeight="9" wp14:anchorId="3C0016B5">
              <wp:simplePos x="0" y="0"/>
              <wp:positionH relativeFrom="leftMargin">
                <wp:posOffset>36195</wp:posOffset>
              </wp:positionH>
              <wp:positionV relativeFrom="margin">
                <wp:posOffset>19050</wp:posOffset>
              </wp:positionV>
              <wp:extent cx="508000" cy="342900"/>
              <wp:effectExtent l="0" t="0" r="0" b="0"/>
              <wp:wrapNone/>
              <wp:docPr id="7"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Style20"/>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9"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pic:spPr>
                    </pic:pic>
                  </a:graphicData>
                </a:graphic>
              </wp:inline>
            </w:drawing>
          </w:r>
        </w:p>
      </w:tc>
      <w:tc>
        <w:tcPr>
          <w:tcW w:w="2357" w:type="dxa"/>
          <w:tcBorders>
            <w:top w:val="nil"/>
            <w:left w:val="nil"/>
            <w:bottom w:val="nil"/>
            <w:right w:val="nil"/>
          </w:tcBorders>
        </w:tcPr>
        <w:p>
          <w:pPr>
            <w:pStyle w:val="Style20"/>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Style20"/>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Style20"/>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Style20"/>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Style20"/>
      <w:rPr/>
    </w:pPr>
    <w:r>
      <w:rPr/>
      <mc:AlternateContent>
        <mc:Choice Requires="wps">
          <w:drawing>
            <wp:anchor behindDoc="1" distT="0" distB="0" distL="0" distR="5715" simplePos="0" locked="0" layoutInCell="0" allowOverlap="1" relativeHeight="11" wp14:anchorId="55D4B455">
              <wp:simplePos x="0" y="0"/>
              <wp:positionH relativeFrom="leftMargin">
                <wp:posOffset>58420</wp:posOffset>
              </wp:positionH>
              <wp:positionV relativeFrom="margin">
                <wp:posOffset>50165</wp:posOffset>
              </wp:positionV>
              <wp:extent cx="508000" cy="342900"/>
              <wp:effectExtent l="0" t="0" r="0" b="0"/>
              <wp:wrapNone/>
              <wp:docPr id="10"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25"/>
                      <w:pBdr>
                        <w:top w:val="single" w:sz="4" w:space="1" w:color="D8D8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uiPriority="20" w:semiHidden="0" w:unhideWhenUsed="0" w:qFormat="1"/>
    <w:lsdException w:name="Normal (Web)" w:uiPriority="99"/>
    <w:lsdException w:name="Balloon Text" w:semiHidden="0" w:unhideWhenUsed="0"/>
    <w:lsdException w:name="Table Grid" w:uiPriority="5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1"/>
    <w:qFormat/>
    <w:pPr>
      <w:keepNext w:val="true"/>
      <w:outlineLvl w:val="0"/>
    </w:pPr>
    <w:rPr>
      <w:b/>
      <w:sz w:val="20"/>
      <w:szCs w:val="20"/>
    </w:rPr>
  </w:style>
  <w:style w:type="paragraph" w:styleId="2">
    <w:name w:val="Heading 2"/>
    <w:basedOn w:val="Normal"/>
    <w:next w:val="Normal"/>
    <w:qFormat/>
    <w:pPr>
      <w:keepNext w:val="true"/>
      <w:jc w:val="center"/>
      <w:outlineLvl w:val="1"/>
    </w:pPr>
    <w:rPr>
      <w:rFonts w:ascii="Arial" w:hAnsi="Arial"/>
      <w:b/>
      <w:szCs w:val="20"/>
    </w:rPr>
  </w:style>
  <w:style w:type="paragraph" w:styleId="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4">
    <w:name w:val="Heading 4"/>
    <w:basedOn w:val="Normal"/>
    <w:next w:val="Normal"/>
    <w:link w:val="41"/>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paragraph" w:styleId="6">
    <w:name w:val="Heading 6"/>
    <w:basedOn w:val="Normal"/>
    <w:next w:val="Normal"/>
    <w:link w:val="61"/>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Strong">
    <w:name w:val="Strong"/>
    <w:uiPriority w:val="22"/>
    <w:qFormat/>
    <w:rPr>
      <w:b/>
      <w:bCs/>
    </w:rPr>
  </w:style>
  <w:style w:type="character" w:styleId="Style9">
    <w:name w:val="Интернет-ссылка"/>
    <w:uiPriority w:val="99"/>
    <w:rPr>
      <w:color w:val="0000FF"/>
      <w:u w:val="single"/>
    </w:rPr>
  </w:style>
  <w:style w:type="character" w:styleId="Style10">
    <w:name w:val="Выделение"/>
    <w:uiPriority w:val="20"/>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Style11">
    <w:name w:val="Посещённая гиперссылка"/>
    <w:rsid w:val="00511170"/>
    <w:rPr>
      <w:color w:val="800080"/>
      <w:u w:val="single"/>
    </w:rPr>
  </w:style>
  <w:style w:type="character" w:styleId="Style12" w:customStyle="1">
    <w:name w:val="Текст документа Знак"/>
    <w:link w:val="Style24"/>
    <w:qFormat/>
    <w:rsid w:val="00c64faf"/>
    <w:rPr>
      <w:rFonts w:eastAsia="Verdana"/>
      <w:color w:val="000000"/>
      <w:sz w:val="24"/>
      <w:szCs w:val="28"/>
      <w:lang w:val="x-none" w:eastAsia="x-none" w:bidi="ar-SA"/>
    </w:rPr>
  </w:style>
  <w:style w:type="character" w:styleId="Style13"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1"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val="243F60" w:themeColor="accent1" w:themeShade="7f"/>
      <w:sz w:val="24"/>
      <w:szCs w:val="24"/>
    </w:rPr>
  </w:style>
  <w:style w:type="character" w:styleId="41"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val="4F81BD" w:themeColor="accent1"/>
      <w:sz w:val="24"/>
      <w:szCs w:val="24"/>
    </w:rPr>
  </w:style>
  <w:style w:type="character" w:styleId="1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2" w:customStyle="1">
    <w:name w:val="Неразрешенное упоминание1"/>
    <w:basedOn w:val="DefaultParagraphFont"/>
    <w:uiPriority w:val="99"/>
    <w:semiHidden/>
    <w:unhideWhenUsed/>
    <w:qFormat/>
    <w:rsid w:val="00db3da6"/>
    <w:rPr>
      <w:color w:val="605E5C"/>
      <w:shd w:fill="E1DFDD" w:val="clear"/>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rsid w:val="00015b35"/>
    <w:pPr>
      <w:suppressAutoHyphens w:val="true"/>
      <w:spacing w:before="0" w:after="120"/>
    </w:pPr>
    <w:rPr>
      <w:lang w:eastAsia="ar-SA"/>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lang w:val="zxx" w:eastAsia="zxx" w:bidi="zxx"/>
    </w:rPr>
  </w:style>
  <w:style w:type="paragraph" w:styleId="Style19">
    <w:name w:val="Колонтитул"/>
    <w:basedOn w:val="Normal"/>
    <w:qFormat/>
    <w:pPr/>
    <w:rPr/>
  </w:style>
  <w:style w:type="paragraph" w:styleId="Style20">
    <w:name w:val="Header"/>
    <w:basedOn w:val="Normal"/>
    <w:pPr>
      <w:tabs>
        <w:tab w:val="clear" w:pos="708"/>
        <w:tab w:val="center" w:pos="4153" w:leader="none"/>
        <w:tab w:val="right" w:pos="8306" w:leader="none"/>
      </w:tabs>
    </w:pPr>
    <w:rPr>
      <w:sz w:val="20"/>
      <w:szCs w:val="20"/>
    </w:rPr>
  </w:style>
  <w:style w:type="paragraph" w:styleId="Style21">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Style22">
    <w:name w:val="Body Text Indent"/>
    <w:basedOn w:val="Normal"/>
    <w:rsid w:val="00015b35"/>
    <w:pPr>
      <w:spacing w:before="0" w:after="120"/>
      <w:ind w:left="283" w:hanging="0"/>
    </w:pPr>
    <w:rPr/>
  </w:style>
  <w:style w:type="paragraph" w:styleId="Style2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24" w:customStyle="1">
    <w:name w:val="Текст документа"/>
    <w:basedOn w:val="NormalWeb"/>
    <w:link w:val="Style12"/>
    <w:autoRedefine/>
    <w:qFormat/>
    <w:rsid w:val="00c64faf"/>
    <w:pPr>
      <w:jc w:val="both"/>
    </w:pPr>
    <w:rPr>
      <w:rFonts w:eastAsia="Verdana"/>
      <w:color w:val="000000"/>
      <w:szCs w:val="28"/>
      <w:lang w:val="x-none" w:eastAsia="x-none"/>
    </w:rPr>
  </w:style>
  <w:style w:type="paragraph" w:styleId="PlainText">
    <w:name w:val="Plain Text"/>
    <w:basedOn w:val="Normal"/>
    <w:link w:val="Style13"/>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hanging="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tsr.sfr.gov.ru/" TargetMode="External"/><Relationship Id="rId3" Type="http://schemas.openxmlformats.org/officeDocument/2006/relationships/image" Target="media/image1.png"/><Relationship Id="rId4" Type="http://schemas.openxmlformats.org/officeDocument/2006/relationships/hyperlink" Target="http://vk.com/sfr.krasnodarskiykray" TargetMode="External"/><Relationship Id="rId5" Type="http://schemas.openxmlformats.org/officeDocument/2006/relationships/image" Target="media/image2.jpeg"/><Relationship Id="rId6" Type="http://schemas.openxmlformats.org/officeDocument/2006/relationships/hyperlink" Target="http://ok.ru/sfr.krasnodarskiykray" TargetMode="External"/><Relationship Id="rId7" Type="http://schemas.openxmlformats.org/officeDocument/2006/relationships/image" Target="media/image3.png"/><Relationship Id="rId8" Type="http://schemas.openxmlformats.org/officeDocument/2006/relationships/hyperlink" Target="https://t.me/sfr_krasnodarskiykray"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0D161-A1D8-4CB5-A695-3072ED309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LibreOffice/7.3.5.2$Windows_X86_64 LibreOffice_project/184fe81b8c8c30d8b5082578aee2fed2ea847c01</Application>
  <AppVersion>15.0000</AppVersion>
  <Pages>2</Pages>
  <Words>271</Words>
  <Characters>1959</Characters>
  <CharactersWithSpaces>2223</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2024-02-26T10:44:00Z</dcterms:created>
  <dc:creator>Обиход Владимир Анатольевич</dc:creator>
  <dc:description/>
  <dc:language>ru-RU</dc:language>
  <cp:lastModifiedBy>Обиход Владимир Анатольевич</cp:lastModifiedBy>
  <cp:lastPrinted>2024-01-29T05:41:00Z</cp:lastPrinted>
  <dcterms:modified xsi:type="dcterms:W3CDTF">2024-02-26T10:44:00Z</dcterms:modified>
  <cp:revision>2</cp:revision>
  <dc:subject/>
  <dc:title>Пенсии</dc:title>
</cp:coreProperties>
</file>

<file path=docProps/custom.xml><?xml version="1.0" encoding="utf-8"?>
<Properties xmlns="http://schemas.openxmlformats.org/officeDocument/2006/custom-properties" xmlns:vt="http://schemas.openxmlformats.org/officeDocument/2006/docPropsVTypes"/>
</file>