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22.11.2023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spacing w:beforeAutospacing="0" w:before="0" w:afterAutospacing="0" w:after="240"/>
        <w:rPr>
          <w:rFonts w:ascii="Montserrat" w:hAnsi="Montserrat"/>
          <w:b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Отделение СФР по Краснодарскому краю приняло участие во Всероссийском дне правовой помощи детям</w:t>
      </w:r>
    </w:p>
    <w:p>
      <w:pPr>
        <w:pStyle w:val="NormalWeb"/>
        <w:spacing w:beforeAutospacing="0" w:before="0" w:after="28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 xml:space="preserve">20 ноября сотрудники Отделения СФР по Краснодарскому краю приняли участие во Всероссийском дне правовой помощи детям. За консультацией по вопросам социального и пенсионного обеспечения и  получением государственных услуг по линии СФР в клиентские службы регионального отделения обратилось 33 жителя края. </w:t>
      </w:r>
    </w:p>
    <w:p>
      <w:pPr>
        <w:pStyle w:val="NormalWeb"/>
        <w:spacing w:beforeAutospacing="0" w:before="0" w:after="28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«В этот день к нам обратилось за консультативной помощью и получением услуг более 30 жителей края. Из них больше половины – это приемные семьи. От граждан были приняты заявления на единое пособие при передаче ребенка в приемную семью, оказана услуга по оформлению опекуном на ребенка материнского капитала</w:t>
      </w:r>
      <w:bookmarkStart w:id="0" w:name="_GoBack"/>
      <w:bookmarkEnd w:id="0"/>
      <w:r>
        <w:rPr>
          <w:rFonts w:ascii="Montserrat" w:hAnsi="Montserrat"/>
          <w:bCs/>
          <w:sz w:val="28"/>
          <w:szCs w:val="28"/>
        </w:rPr>
        <w:t xml:space="preserve">. Также граждане обращались по вопросам оформления пенсии ребенку (инвалиду детства), путевок. Приняты заявления по изменению способа доставки пенсии и изменению счета», - отметила управляющий региональным ОСФР </w:t>
      </w:r>
      <w:r>
        <w:rPr>
          <w:rFonts w:ascii="Montserrat" w:hAnsi="Montserrat"/>
          <w:b/>
          <w:bCs/>
          <w:sz w:val="28"/>
          <w:szCs w:val="28"/>
        </w:rPr>
        <w:t xml:space="preserve">Татьяна  Ткаченко. </w:t>
      </w:r>
    </w:p>
    <w:p>
      <w:pPr>
        <w:pStyle w:val="NormalWeb"/>
        <w:spacing w:beforeAutospacing="0" w:before="0" w:after="28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Напомним, данное мероприятие проводилось для детей-сирот; детей, оставшихся без попечения родителей, их законных представителей; лиц, желающих принять на воспитание в свою семью ребенка, оставшегося без попечения родителей, усыновителей, детей с инвалидностью и их родителей.</w:t>
      </w:r>
    </w:p>
    <w:p>
      <w:pPr>
        <w:pStyle w:val="NormalWeb"/>
        <w:spacing w:beforeAutospacing="0" w:before="0" w:after="28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 xml:space="preserve">Основной целью проведения акции являлось создание условий, при которых дети-сироты и дети, находящиеся в трудной жизненной ситуации, смогут получить квалифицированную консультативную помощь.  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/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8" wp14:anchorId="3C0016B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7DB8E-F04A-43D1-B4D5-224842EE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211</Words>
  <Characters>1421</Characters>
  <CharactersWithSpaces>1633</CharactersWithSpaces>
  <Paragraphs>21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2023-11-22T05:23:00Z</dcterms:created>
  <dc:creator>Обиход Владимир Анатольевич</dc:creator>
  <dc:description/>
  <dc:language>ru-RU</dc:language>
  <cp:lastModifiedBy>Обиход Владимир Анатольевич</cp:lastModifiedBy>
  <cp:lastPrinted>2023-11-07T06:50:00Z</cp:lastPrinted>
  <dcterms:modified xsi:type="dcterms:W3CDTF">2023-11-22T05:36:00Z</dcterms:modified>
  <cp:revision>3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