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3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02.12.2025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Arial" w:cstheme="minorBidi" w:eastAsiaTheme="minorHAnsi"/>
          <w:b/>
          <w:szCs w:val="28"/>
          <w:lang w:eastAsia="en-US"/>
        </w:rPr>
      </w:pPr>
      <w:r>
        <w:rPr>
          <w:rFonts w:eastAsia="Calibri" w:cs="Arial" w:cstheme="minorBidi" w:eastAsiaTheme="minorHAnsi" w:ascii="Montserrat" w:hAnsi="Montserrat"/>
          <w:b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Более 400 тысяч жителей Кубани с инвалидностью получают поддержку от Отделения Социального фонда России по Краснодарскому краю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3 декабря во всём мире отмечается Международный день инвалидов. В России, как и в большинстве стран, люди с инвалидностью могут рассчитывать на комплекс государственных льгот и мер социальной поддержки. Значительную часть этих услуг предоставляет Отделение Социального фонда России по Краснодарскому краю.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Одной из ключевых услуг регионального Отделения СФР для людей с инвалидностью является назначение одной из трёх видов пенсий: страховой, государственной и социальной. 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Страховая пенсия оформляется при наличии хотя бы одного дня трудового стажа. 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Социальная пенсия назначается тем, кто не имеет трудового стажа. Почти половина её получателей — дети или люди, получившие инвалидность в детстве. 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Государственная пенсия предоставляется тем, чья инвалидность связана с военной службой, подготовкой к космическим полётам, радиационными или техногенными катастрофами.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При достижении пенсионного возраста и наличии необходимых индивидуальных пенсионных коэффициентов и стажа получатели страховой или социальной пенсии по инвалидности могут перейти на пенсию по старости — в равном или более высоком размере. Люди с военной травмой и инвалиды Великой Отечественной войны имеют право на две пенсии одновременно: страховую по старости и государственную по инвалидности.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Помимо пенсий, Отделение СФР по Краснодарскому краю предоставляет людям с инвалидностью ежемесячные денежные выплаты (ЕДВ), размер которых зависит от группы инвалидности. Получатели ЕДВ также имеют право на набор социальных услуг, включающий лекарства, медицинские изделия, санаторно-курортное лечение и проезд к месту лечения. При необходимости набор социальных услуг можно заменить денежной компенсацией.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С 1 января 2025 года людям с инвалидностью I группы или достигшим 80 лет автоматически устанавливается надбавка к пенсии на уход. Её размер составляет: 1 314 рублей — для получателей страховой пенсии; 1 377 рублей — для получателей государственной пенсии.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Региональное Отделение СФР обеспечивает людей с инвалидностью техническими средствами реабилитации (ТСР): тростями, костылями, креслами-колясками, протезами, ортопедической обувью, абсорбирующим бельём и другими необходимыми изделиями. Тем, кому транспортное средство необходимо по медицинским показаниям, предоставляется компенсация половины стоимости страховки ОСАГО. Кроме того, зарегистрировав транспорт в Федеральном реестре инвалидов, можно воспользоваться правом на бесплатную парковку.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Отделение СФР по Краснодарскому краю  также оказывает поддержку тем, кто ухаживает за людьми с инвалидностью. Например, неработающим трудоспособным гражданам, родителям или опекунам, ухаживающим за детьми-инвалидами или инвалидами с детства I группы, выплачивается 10 950 рублей ежемесячно. Родители детей с инвалидностью имеют право на четыре дополнительных оплачиваемых выходных дня в месяц, которые можно использовать для посещения врачей, обследований или получения лекарств. 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Семьи, имеющие сертификат на материнский капитал, могут направить его средства на социальную адаптацию и интеграцию детей с инвалидностью в общество.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Для бизнеса предусмотрены субсидии на оборудование рабочих мест для трудоустройства людей с инвалидностью — до 200 тысяч рублей на одно рабочее место. 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Большинство выплат и льгот назначаются автоматически — без заявления, на основании данных медицинского освидетельствования. Продление выплат также происходит беззаявительно, после обновления информации в государственных системах.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Myriad Pro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D1597-219B-4D79-8210-5A02F26D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LibreOffice/25.2.4.3$Windows_X86_64 LibreOffice_project/33e196637044ead23f5c3226cde09b47731f7e27</Application>
  <AppVersion>15.0000</AppVersion>
  <Pages>2</Pages>
  <Words>487</Words>
  <Characters>3406</Characters>
  <CharactersWithSpaces>3890</CharactersWithSpaces>
  <Paragraphs>30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2025-12-01T11:06:00Z</dcterms:created>
  <dc:creator>Обиход Владимир Анатольевич</dc:creator>
  <dc:description/>
  <dc:language>ru-RU</dc:language>
  <cp:lastModifiedBy>Семенова Ангелина Михайловна</cp:lastModifiedBy>
  <dcterms:modified xsi:type="dcterms:W3CDTF">2025-12-01T11:06:00Z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