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0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27.04.2026</w:t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  <w:iCs/>
        </w:rPr>
        <w:t xml:space="preserve">Отделение СФР по Краснодарскому краю перечислило ветеранам </w:t>
      </w:r>
      <w:r>
        <w:rPr>
          <w:rFonts w:ascii="Montserrat" w:hAnsi="Montserrat"/>
          <w:b/>
        </w:rPr>
        <w:t>Великой Отечественной войны ежегодные</w:t>
      </w:r>
      <w:r>
        <w:rPr>
          <w:rFonts w:ascii="Montserrat" w:hAnsi="Montserrat"/>
          <w:b/>
          <w:iCs/>
        </w:rPr>
        <w:t xml:space="preserve"> выплаты ко Дню Победы</w:t>
      </w:r>
    </w:p>
    <w:p>
      <w:pPr>
        <w:pStyle w:val="Normal"/>
        <w:spacing w:lineRule="auto" w:line="360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В честь Дня Победы Отделение Социального фонда России по Краснодарскому краю перечислило 181 ветерану Великой Отечественной войны ежегодную выплату в размере 10 тысяч рублей.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Эти средства предназначены для ветеранов, которые во время Великой Отечественной войны служили в действующей армии, а также для тех, кто получил инвалидность в результате боевых действий или при выполнении специальных заданий. Важно подчеркнуть, что данная помощь распространяется не только на ветеранов, проживающих на территории России, но и на участников войны, находящихся в Эстонии, Латвии и Литве.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Средства были выплачены автоматически вместе с пенсией в апреле — через банки либо через Почту России, в соответствии с графиком доставки и в зависимости от выбранного способа получения.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2" w:tooltip="https://max.ru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2"/>
          <w:szCs w:val="12"/>
        </w:rPr>
      </w:pPr>
      <w:r>
        <w:rPr>
          <w:rFonts w:ascii="Montserrat" w:hAnsi="Montserrat"/>
          <w:b/>
          <w:sz w:val="12"/>
          <w:szCs w:val="12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0F70-2AAF-4D00-8500-BE45F505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1</Pages>
  <Words>197</Words>
  <Characters>1310</Characters>
  <CharactersWithSpaces>1502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2026-04-22T11:06:00Z</dcterms:created>
  <dc:creator>Обиход Владимир Анатольевич</dc:creator>
  <dc:description/>
  <dc:language>ru-RU</dc:language>
  <cp:lastModifiedBy>Обиход Владимир Анатольевич</cp:lastModifiedBy>
  <cp:lastPrinted>2026-04-21T07:32:00Z</cp:lastPrinted>
  <dcterms:modified xsi:type="dcterms:W3CDTF">2026-04-22T11:06:00Z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