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15.02.2024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pacing w:before="280" w:after="24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Доставка пенсий и социальных выплат в Краснодарском крае: график на февраль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В связи с предстоящими праздничными и выходными днями в феврале 2024 года жителям Краснодарского края, которые получают пенсии и другие социальные выплаты через отделения почтовой связи, доставка пенсий и иных выплат за февраль будет производиться по следующему графику: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Городские отделения почтовой связи Краснодара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19 февраля — за 19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20 февраля — за 20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21 февраля — за 21 и 22 февраля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22 февраля — за 23 февраля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24 февраля — на кассе отделений почтовой связи при почтамте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/>
          <w:b/>
          <w:bCs/>
          <w:i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Отделения почтовой связи Краснодарского края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20 февраля — за 20 февраля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21 февраля — за 21 и 22 февраля </w:t>
      </w:r>
    </w:p>
    <w:p>
      <w:pPr>
        <w:pStyle w:val="NormalWeb"/>
        <w:widowControl w:val="false"/>
        <w:numPr>
          <w:ilvl w:val="0"/>
          <w:numId w:val="1"/>
        </w:numPr>
        <w:spacing w:before="0" w:after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22 февраля — за 23 и 24 февраля </w:t>
      </w:r>
    </w:p>
    <w:p>
      <w:pPr>
        <w:pStyle w:val="NormalWeb"/>
        <w:widowControl w:val="false"/>
        <w:numPr>
          <w:ilvl w:val="0"/>
          <w:numId w:val="1"/>
        </w:numPr>
        <w:spacing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24 февраля — на кассе отделений почтовой связи при почтамте   </w:t>
      </w:r>
    </w:p>
    <w:p>
      <w:pPr>
        <w:pStyle w:val="NormalWeb"/>
        <w:widowControl w:val="false"/>
        <w:spacing w:lineRule="auto" w:line="276" w:before="0" w:after="28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настоящее время в Краснодарском крае проживает свыше 1,6  млн. получателей пенсий, 35% из которых получают ее в отделениях почтовой связи.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9FDE6-EAB5-494C-82E0-BC038CF8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176</Words>
  <Characters>967</Characters>
  <CharactersWithSpaces>1137</CharactersWithSpaces>
  <Paragraphs>30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2024-02-14T10:35:00Z</dcterms:created>
  <dc:creator>Обиход Владимир Анатольевич</dc:creator>
  <dc:description/>
  <dc:language>ru-RU</dc:language>
  <cp:lastModifiedBy>Чеботарь Ольга Андреевна</cp:lastModifiedBy>
  <cp:lastPrinted>2024-01-29T05:41:00Z</cp:lastPrinted>
  <dcterms:modified xsi:type="dcterms:W3CDTF">2024-02-14T10:35:00Z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