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3" wp14:anchorId="5C3ED8EB">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C3ED8EB">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15.09.2026</w:t>
      </w:r>
    </w:p>
    <w:p>
      <w:pPr>
        <w:pStyle w:val="NormalWeb"/>
        <w:spacing w:lineRule="auto" w:line="360" w:beforeAutospacing="0" w:before="0" w:afterAutospacing="0" w:after="0"/>
        <w:jc w:val="both"/>
        <w:rPr>
          <w:rFonts w:ascii="Montserrat" w:hAnsi="Montserrat"/>
          <w:b/>
          <w:szCs w:val="28"/>
        </w:rPr>
      </w:pPr>
      <w:r>
        <w:rPr>
          <w:rFonts w:ascii="Montserrat" w:hAnsi="Montserrat"/>
          <w:b/>
          <w:szCs w:val="28"/>
        </w:rPr>
      </w:r>
    </w:p>
    <w:p>
      <w:pPr>
        <w:pStyle w:val="Normal"/>
        <w:spacing w:lineRule="auto" w:line="276"/>
        <w:rPr>
          <w:rFonts w:ascii="Montserrat" w:hAnsi="Montserrat"/>
          <w:b/>
        </w:rPr>
      </w:pPr>
      <w:r>
        <w:rPr>
          <w:rFonts w:ascii="Montserrat" w:hAnsi="Montserrat"/>
          <w:b/>
        </w:rPr>
        <w:t>Более 38 тыс. жителей Кубани легализовали трудовые отношения с начала года</w:t>
      </w:r>
    </w:p>
    <w:p>
      <w:pPr>
        <w:pStyle w:val="Normal"/>
        <w:spacing w:lineRule="auto" w:line="360"/>
        <w:jc w:val="both"/>
        <w:rPr>
          <w:rFonts w:ascii="Montserrat" w:hAnsi="Montserrat"/>
          <w:b/>
        </w:rPr>
      </w:pPr>
      <w:r>
        <w:rPr>
          <w:rFonts w:ascii="Montserrat" w:hAnsi="Montserrat"/>
          <w:b/>
        </w:rPr>
      </w:r>
    </w:p>
    <w:p>
      <w:pPr>
        <w:pStyle w:val="Normal"/>
        <w:spacing w:lineRule="auto" w:line="360"/>
        <w:jc w:val="both"/>
        <w:rPr>
          <w:rFonts w:ascii="Montserrat" w:hAnsi="Montserrat"/>
        </w:rPr>
      </w:pPr>
      <w:r>
        <w:rPr>
          <w:rFonts w:ascii="Montserrat" w:hAnsi="Montserrat"/>
        </w:rPr>
        <w:t>Эксперты Отделения Социального фонда России по Краснодарскому краю напоминают, что недобросовестные работодатели, стремясь сократить расходы на страховые взносы, выплачивают часть зарплаты неофициально или оформляют сотрудников на минимальный оклад. От этого страдают сами работники, так как они теряют право на страховую пенсию, больничные, декретные выплаты и другие меры соцподдержки.</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При «серой» схеме пенсия рассчитывается только с официальной части дохода и оказывается ниже. При полностью «чёрной» зарплате страховой стаж вообще не формируется — человек может рассчитывать только на социальную пенсию, которая назначается на пять лет позже и не превышает прожиточного минимума.</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Кроме того, для оформления многих пособий требуется подтвердить официальный доход — без этого получить поддержку от государства не получится.</w:t>
      </w:r>
    </w:p>
    <w:p>
      <w:pPr>
        <w:pStyle w:val="Normal"/>
        <w:spacing w:lineRule="auto" w:line="360"/>
        <w:jc w:val="both"/>
        <w:rPr>
          <w:rFonts w:ascii="Montserrat" w:hAnsi="Montserrat"/>
        </w:rPr>
      </w:pPr>
      <w:r>
        <w:rPr>
          <w:rFonts w:ascii="Montserrat" w:hAnsi="Montserrat"/>
        </w:rPr>
      </w:r>
    </w:p>
    <w:tbl>
      <w:tblPr>
        <w:tblW w:w="10305" w:type="dxa"/>
        <w:jc w:val="left"/>
        <w:tblInd w:w="118" w:type="dxa"/>
        <w:tblLayout w:type="fixed"/>
        <w:tblCellMar>
          <w:top w:w="0" w:type="dxa"/>
          <w:left w:w="108" w:type="dxa"/>
          <w:bottom w:w="0" w:type="dxa"/>
          <w:right w:w="108" w:type="dxa"/>
        </w:tblCellMar>
        <w:tblLook w:firstRow="0" w:noVBand="0" w:lastRow="0" w:firstColumn="0" w:lastColumn="0" w:noHBand="0" w:val="0000"/>
      </w:tblPr>
      <w:tblGrid>
        <w:gridCol w:w="10305"/>
      </w:tblGrid>
      <w:tr>
        <w:trPr>
          <w:trHeight w:val="70" w:hRule="atLeast"/>
        </w:trPr>
        <w:tc>
          <w:tcPr>
            <w:tcW w:w="10305" w:type="dxa"/>
            <w:tcBorders>
              <w:left w:val="single" w:sz="4" w:space="0" w:color="000000"/>
            </w:tcBorders>
          </w:tcPr>
          <w:p>
            <w:pPr>
              <w:pStyle w:val="Normal"/>
              <w:spacing w:lineRule="auto" w:line="360"/>
              <w:jc w:val="both"/>
              <w:rPr>
                <w:rFonts w:ascii="Montserrat" w:hAnsi="Montserrat"/>
                <w:b/>
                <w:bCs/>
              </w:rPr>
            </w:pPr>
            <w:r>
              <w:rPr>
                <w:rFonts w:ascii="Montserrat" w:hAnsi="Montserrat"/>
                <w:i/>
                <w:iCs/>
              </w:rPr>
              <w:t xml:space="preserve">«Ответственные работодатели не экономят на своих сотрудниках — они платят взносы в полном объёме, и от этого напрямую зависит будущая пенсия человека. Проверить свой страховой стаж, начисленные взносы и пенсионные коэффициенты каждый житель края может в личном кабинете на портале госуслуг — это займёт пару минут», — отметил управляющий Отделением СФР по Краснодарскому краю </w:t>
            </w:r>
            <w:r>
              <w:rPr>
                <w:rStyle w:val="Strong"/>
                <w:rFonts w:ascii="Montserrat" w:hAnsi="Montserrat"/>
                <w:i/>
                <w:iCs/>
              </w:rPr>
              <w:t>Дмитрий Фурса</w:t>
            </w:r>
            <w:r>
              <w:rPr>
                <w:rStyle w:val="Strong"/>
                <w:rFonts w:ascii="Montserrat" w:hAnsi="Montserrat"/>
                <w:b w:val="false"/>
                <w:i/>
                <w:iCs/>
              </w:rPr>
              <w:t>.</w:t>
            </w:r>
          </w:p>
        </w:tc>
      </w:tr>
    </w:tbl>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Своевременная защита трудовых прав является лучшей гарантией социальной стабильности в будущем.</w:t>
      </w:r>
    </w:p>
    <w:p>
      <w:pPr>
        <w:pStyle w:val="Normal"/>
        <w:spacing w:lineRule="auto" w:line="360"/>
        <w:jc w:val="both"/>
        <w:rPr>
          <w:rFonts w:ascii="Montserrat" w:hAnsi="Montserrat"/>
          <w:bCs/>
        </w:rPr>
      </w:pPr>
      <w:r>
        <w:rPr>
          <w:rFonts w:ascii="Montserrat" w:hAnsi="Montserrat"/>
          <w:bCs/>
        </w:rPr>
        <w:t>Если остались вопросы, обратитесь в единый контакт-центр (ЕКЦ): 8 (800) 100-00-01 (звонок бесплатный).</w:t>
      </w:r>
    </w:p>
    <w:p>
      <w:pPr>
        <w:pStyle w:val="Normal"/>
        <w:spacing w:lineRule="auto" w:line="360"/>
        <w:jc w:val="both"/>
        <w:rPr>
          <w:rFonts w:ascii="Montserrat" w:hAnsi="Montserrat"/>
          <w:bCs/>
        </w:rPr>
      </w:pPr>
      <w:r>
        <w:rPr>
          <w:rFonts w:ascii="Montserrat" w:hAnsi="Montserrat"/>
          <w:bCs/>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Calibri" w:hAnsi="Calibri" w:asciiTheme="minorHAnsi" w:hAnsiTheme="minorHAnsi"/>
          <w:b/>
          <w:color w:val="488DCD"/>
        </w:rPr>
      </w:pPr>
      <w:r>
        <w:rPr/>
        <w:drawing>
          <wp:inline distT="0" distB="0" distL="0" distR="0">
            <wp:extent cx="306070" cy="306070"/>
            <wp:effectExtent l="0" t="0" r="0" b="0"/>
            <wp:docPr id="2" name="Рисунок 11"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9"/>
                    </pic:cNvPr>
                    <pic:cNvPicPr>
                      <a:picLocks noChangeAspect="1" noChangeArrowheads="1"/>
                    </pic:cNvPicPr>
                  </pic:nvPicPr>
                  <pic:blipFill>
                    <a:blip r:embed="rId8"/>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1"/>
                    </pic:cNvPr>
                    <pic:cNvPicPr>
                      <a:picLocks noChangeAspect="1" noChangeArrowheads="1"/>
                    </pic:cNvPicPr>
                  </pic:nvPicPr>
                  <pic:blipFill>
                    <a:blip r:embed="rId10"/>
                    <a:stretch>
                      <a:fillRect/>
                    </a:stretch>
                  </pic:blipFill>
                  <pic:spPr bwMode="auto">
                    <a:xfrm>
                      <a:off x="0" y="0"/>
                      <a:ext cx="306070" cy="306070"/>
                    </a:xfrm>
                    <a:prstGeom prst="rect">
                      <a:avLst/>
                    </a:prstGeom>
                    <a:noFill/>
                  </pic:spPr>
                </pic:pic>
              </a:graphicData>
            </a:graphic>
          </wp:inline>
        </w:drawing>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spacing w:lineRule="auto" w:line="276"/>
        <w:jc w:val="both"/>
        <w:rPr>
          <w:rFonts w:ascii="Montserrat" w:hAnsi="Montserrat"/>
          <w:b/>
          <w:i/>
          <w:i/>
          <w:color w:val="00B0F0"/>
        </w:rPr>
      </w:pPr>
      <w:r>
        <w:rPr>
          <w:rFonts w:ascii="Montserrat" w:hAnsi="Montserrat"/>
          <w:b/>
          <w:i/>
          <w:color w:val="00B0F0"/>
        </w:rPr>
      </w:r>
    </w:p>
    <w:p>
      <w:pPr>
        <w:pStyle w:val="Normal"/>
        <w:rPr>
          <w:rFonts w:ascii="Montserrat" w:hAnsi="Montserrat"/>
          <w:b/>
          <w:i/>
          <w:i/>
          <w:color w:val="00B0F0"/>
        </w:rPr>
      </w:pPr>
      <w:r>
        <w:rPr>
          <w:rFonts w:ascii="Montserrat" w:hAnsi="Montserrat"/>
          <w:b/>
          <w:i/>
          <w:color w:val="00B0F0"/>
        </w:rPr>
      </w:r>
    </w:p>
    <w:p>
      <w:pPr>
        <w:pStyle w:val="Normal"/>
        <w:spacing w:lineRule="auto" w:line="276"/>
        <w:jc w:val="both"/>
        <w:rPr>
          <w:rFonts w:ascii="Montserrat" w:hAnsi="Montserrat"/>
          <w:b/>
          <w:color w:val="00B050"/>
        </w:rPr>
      </w:pPr>
      <w:r>
        <w:rPr>
          <w:rFonts w:ascii="Montserrat" w:hAnsi="Montserrat"/>
          <w:b/>
          <w:color w:val="00B050"/>
        </w:rPr>
      </w:r>
      <w:bookmarkStart w:id="0" w:name="_GoBack"/>
      <w:bookmarkStart w:id="1" w:name="_GoBack"/>
      <w:bookmarkEnd w:id="1"/>
    </w:p>
    <w:sectPr>
      <w:headerReference w:type="even" r:id="rId12"/>
      <w:headerReference w:type="default" r:id="rId13"/>
      <w:headerReference w:type="first" r:id="rId14"/>
      <w:footerReference w:type="even" r:id="rId15"/>
      <w:footerReference w:type="default" r:id="rId16"/>
      <w:footerReference w:type="first" r:id="rId17"/>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8" wp14:anchorId="306CAE52">
              <wp:simplePos x="0" y="0"/>
              <wp:positionH relativeFrom="leftMargin">
                <wp:posOffset>36195</wp:posOffset>
              </wp:positionH>
              <wp:positionV relativeFrom="margin">
                <wp:posOffset>19050</wp:posOffset>
              </wp:positionV>
              <wp:extent cx="508000" cy="342900"/>
              <wp:effectExtent l="0" t="0" r="0" b="0"/>
              <wp:wrapNone/>
              <wp:docPr id="8"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06CAE52">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10" wp14:anchorId="54F8EA9A">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4F8EA9A">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character" w:styleId="22" w:customStyle="1">
    <w:name w:val="Неразрешенное упоминание2"/>
    <w:basedOn w:val="DefaultParagraphFont"/>
    <w:uiPriority w:val="99"/>
    <w:semiHidden/>
    <w:unhideWhenUsed/>
    <w:qFormat/>
    <w:rsid w:val="0013136f"/>
    <w:rPr>
      <w:color w:val="605E5C"/>
      <w:shd w:fill="E1DFDD" w:val="clear"/>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andard" w:customStyle="1">
    <w:name w:val="Standard"/>
    <w:qFormat/>
    <w:rsid w:val="008a090f"/>
    <w:pPr>
      <w:widowControl/>
      <w:suppressAutoHyphens w:val="true"/>
      <w:bidi w:val="0"/>
      <w:spacing w:before="0" w:after="0"/>
      <w:jc w:val="left"/>
      <w:textAlignment w:val="baseline"/>
    </w:pPr>
    <w:rPr>
      <w:rFonts w:ascii="Times New Roman" w:hAnsi="Times New Roman" w:eastAsia="Times New Roman" w:cs="Times New Roman"/>
      <w:color w:val="00000A"/>
      <w:kern w:val="2"/>
      <w:sz w:val="24"/>
      <w:szCs w:val="24"/>
      <w:lang w:val="ru-RU" w:eastAsia="ru-RU" w:bidi="ar-SA"/>
    </w:rPr>
  </w:style>
  <w:style w:type="paragraph" w:styleId="mb-5" w:customStyle="1">
    <w:name w:val="mb-5"/>
    <w:basedOn w:val="Normal"/>
    <w:qFormat/>
    <w:rsid w:val="00cb7ad8"/>
    <w:pPr>
      <w:spacing w:beforeAutospacing="1" w:afterAutospacing="1"/>
    </w:pPr>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ax.ru/sfr_krasnodarskiykray" TargetMode="External"/><Relationship Id="rId4" Type="http://schemas.openxmlformats.org/officeDocument/2006/relationships/image" Target="media/image2.png"/><Relationship Id="rId5" Type="http://schemas.openxmlformats.org/officeDocument/2006/relationships/hyperlink" Target="https://vk.com/sfr.krasnodarskiykray" TargetMode="External"/><Relationship Id="rId6" Type="http://schemas.openxmlformats.org/officeDocument/2006/relationships/image" Target="media/image3.png"/><Relationship Id="rId7" Type="http://schemas.openxmlformats.org/officeDocument/2006/relationships/hyperlink" Target="https://ok.ru/sfr.krasnodarskiykray" TargetMode="External"/><Relationship Id="rId8" Type="http://schemas.openxmlformats.org/officeDocument/2006/relationships/image" Target="media/image4.png"/><Relationship Id="rId9" Type="http://schemas.openxmlformats.org/officeDocument/2006/relationships/hyperlink" Target="https://t.me/sfr_krasnodarskiykray" TargetMode="External"/><Relationship Id="rId10" Type="http://schemas.openxmlformats.org/officeDocument/2006/relationships/image" Target="media/image5.png"/><Relationship Id="rId11" Type="http://schemas.openxmlformats.org/officeDocument/2006/relationships/hyperlink" Target="https://dzen.ru/sfr_krasnodarskiykray"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00435-88B3-474C-B21A-7E887CE1E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LibreOffice/25.2.4.3$Windows_X86_64 LibreOffice_project/33e196637044ead23f5c3226cde09b47731f7e27</Application>
  <AppVersion>15.0000</AppVersion>
  <Pages>3</Pages>
  <Words>222</Words>
  <Characters>1497</Characters>
  <CharactersWithSpaces>1717</CharactersWithSpaces>
  <Paragraphs>22</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2026-09-14T12:44:00Z</dcterms:created>
  <dc:creator>Обиход Владимир Анатольевич</dc:creator>
  <dc:description/>
  <dc:language>ru-RU</dc:language>
  <cp:lastModifiedBy>Семенова Ангелина Михайловна</cp:lastModifiedBy>
  <cp:lastPrinted>2026-04-09T09:07:00Z</cp:lastPrinted>
  <dcterms:modified xsi:type="dcterms:W3CDTF">2026-09-14T12:45:00Z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