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2023 году ОСФР по Краснодарскому краю оформило более 3,5 тысяч электронных сертификатов на технические средства реабилитации</w:t>
      </w:r>
    </w:p>
    <w:p>
      <w:pPr>
        <w:pStyle w:val="Normal"/>
        <w:jc w:val="center"/>
        <w:rPr/>
      </w:pPr>
      <w:r>
        <w:rPr/>
      </w:r>
    </w:p>
    <w:p>
      <w:pPr>
        <w:pStyle w:val="NormalWeb"/>
        <w:spacing w:lineRule="auto" w:line="276" w:before="280" w:after="280"/>
        <w:jc w:val="both"/>
        <w:rPr/>
      </w:pPr>
      <w:r>
        <w:rPr/>
        <w:t>С 1 января 2023 года было оформлено 3768 электронных сертификатов на ТСР. Из них уже использовано 960 сертификатов, из которых 952 – по инвалидности, 8 – пострадавшими на производстве.</w:t>
      </w:r>
    </w:p>
    <w:p>
      <w:pPr>
        <w:pStyle w:val="NormalWeb"/>
        <w:spacing w:lineRule="auto" w:line="276" w:before="280" w:after="280"/>
        <w:jc w:val="both"/>
        <w:rPr/>
      </w:pPr>
      <w:r>
        <w:rPr/>
        <w:t xml:space="preserve">Напомним, что электронный сертификат – это сервис обеспечения ТСР, который является дополнением к уже действующим способам обеспечения средствами реабилитации. Он представляет собой запись в электронном реестре ГИС ЭС, привязанную к номеру карты МИР. Сервис организован так, что деньги, выделенные на покупку, не перечисляются на карту, а резервируются под каждое ТСР в бюджете Федеральным казначейством, и напрямую отправляются продавцу при покупке изделия. 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Сертификат содержит следующую информацию: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/>
      </w:pPr>
      <w:r>
        <w:rPr/>
        <w:t>Вид и количество ТСР, которое можно приобрести по сертификату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/>
      </w:pPr>
      <w:r>
        <w:rPr/>
        <w:t>Максимальная цена за единицу ТСР, которую можно оплатить сертификатом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/>
      </w:pPr>
      <w:r>
        <w:rPr/>
        <w:t>Срок действия, в течение которого можно использовать сертификат для оплаты ТСР.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Жители Кубани могут оформить электронные сертификаты на технические средства реабилитации (ТСР), обратившись в </w:t>
      </w:r>
      <w:hyperlink r:id="rId2">
        <w:r>
          <w:rPr/>
          <w:t>региональные офисы</w:t>
        </w:r>
      </w:hyperlink>
      <w:r>
        <w:rPr/>
        <w:t xml:space="preserve"> Социального фонда России по Краснодарскому краю, а также через МФЦ или портал Госуслуг.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Необходимые документы для оформления электронного сертификата через Отделение СФР и МФЦ: 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/>
      </w:pPr>
      <w:r>
        <w:rPr/>
        <w:t>Заявление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/>
      </w:pPr>
      <w:r>
        <w:rPr/>
        <w:t>документ, удостоверяющий личность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/>
      </w:pPr>
      <w:r>
        <w:rPr/>
        <w:t xml:space="preserve"> </w:t>
      </w:r>
      <w:r>
        <w:rPr/>
        <w:t>номер карты МИР, выпущенной любым банком.</w:t>
      </w:r>
    </w:p>
    <w:p>
      <w:pPr>
        <w:pStyle w:val="NormalWeb"/>
        <w:spacing w:lineRule="auto" w:line="276" w:beforeAutospacing="0" w:before="0" w:after="280"/>
        <w:jc w:val="both"/>
        <w:rPr/>
      </w:pPr>
      <w:r>
        <w:rPr/>
        <w:t>При оформлении через портал Госуслуг – заявление и номер карты «МИР».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</w:t>
      </w:r>
      <w:r>
        <w:rPr>
          <w:b/>
        </w:rPr>
        <w:t xml:space="preserve">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b/>
          <w:b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24F7-B215-4C7C-B5B9-158E2E80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221</Words>
  <Characters>1430</Characters>
  <CharactersWithSpaces>1664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2023-04-05T12:32:00Z</dcterms:created>
  <dc:creator>Обиход Владимир Анатольевич</dc:creator>
  <dc:description/>
  <dc:language>ru-RU</dc:language>
  <cp:lastModifiedBy>Обиход Владимир Анатольевич</cp:lastModifiedBy>
  <cp:lastPrinted>2023-04-06T09:42:55Z</cp:lastPrinted>
  <dcterms:modified xsi:type="dcterms:W3CDTF">2023-04-05T12:32:00Z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