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До 1 октября федеральные льготники Кубани могут выбрать способ получения набора социальных услуг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2"/>
          <w:szCs w:val="22"/>
        </w:rPr>
      </w:pPr>
      <w:r>
        <w:rPr>
          <w:rStyle w:val="Style10"/>
          <w:sz w:val="22"/>
          <w:szCs w:val="22"/>
        </w:rPr>
        <w:t>К данной категории граждан относятся свыше 526 175 жителей Краснодарского края, которые являются получателями ежемесячной денежной выплаты (ЕДВ) и  набора социальных услуг (НСУ).  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Клиентские службы Отделения Социального фонда России по Краснодарскому краю продолжает прием заявлений от федеральных льготников*, желающих изменить форму получения набора социальных услуг с 1 января 2024 года.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Подать заявление требуется только в том случае, если гражданин желает изменить текущий порядок получения услуг (например, сейчас получает деньги, а с 1 января 2024 года хочет получать натуральные льготы). Сделать это можно до 1 октября 2023 года через портал Госуслуг, клиентскую службу ОСФР по Краснодарскому краю или МФЦ. Если гражданин желает сохранить существующую форму получения льгот, заявление подавать не требуется.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Отделение СФР по Краснодарскому краю призывает федеральных льготников обдуманно подходить к выбору между льготами и их денежным эквивалентом, взвесив все «за» и «против». Напоминаем, что если гражданин отказывается от социального пакета (или его частей), то в течение всего года он не сможет изменить способ его получения. Между тем, сохранив за собой право на натуральные льготы, гражданин будет пользоваться услугами не в рамках их номинальной стоимости, а в необходимом объеме. Поэтому, прежде чем принимать решение об отказе от НСУ, особенно от части, касающейся обеспечения бесплатными медикаментами, человеку стоит все серьезно взвесить и проконсультироваться с врачом. Возможно, бесплатные лекарства окажутся гораздо важнее и превысят стоимость денежной выплаты, на которую их можно обменять.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Если решение об отказе принято, то для этого необходимо до 1 октября текущего года подать заявление об отказе от получения набора социальных услуг.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Денежный эквивалент соцпакета с 1 февраля 2023 года составляет </w:t>
      </w:r>
      <w:r>
        <w:rPr>
          <w:rStyle w:val="Texthighlight"/>
          <w:sz w:val="22"/>
          <w:szCs w:val="22"/>
        </w:rPr>
        <w:t>1469 рублей 74 копейки в месяц</w:t>
      </w:r>
      <w:r>
        <w:rPr>
          <w:sz w:val="22"/>
          <w:szCs w:val="22"/>
        </w:rPr>
        <w:t>. В него входят: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лекарства, медицинские изделия и лечебное питание для детей-инвалидов (денежный эквивалент — 1 132,03 рублей),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путевка на санаторно-курортное лечение для профилактики основных заболеваний (денежный эквивалент — 175,12 рублей),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бесплатный проезд на пригородном железнодорожном транспорте или на междугородном транспорте к месту лечения и обратно (денежный эквивалент — 162,59 рублей).</w:t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rStyle w:val="Style10"/>
          <w:sz w:val="22"/>
          <w:szCs w:val="22"/>
        </w:rPr>
        <w:t>К федеральным льготникам относятся граждане с инвалидностью, ветераны боевых действий, чернобыльцы и ряд других категорий.</w:t>
      </w:r>
      <w:bookmarkStart w:id="0" w:name="_GoBack"/>
      <w:bookmarkEnd w:id="0"/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b/>
          <w:b/>
          <w:color w:val="auto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  <w:r>
        <w:rPr>
          <w:b/>
          <w:sz w:val="20"/>
          <w:szCs w:val="20"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573A-B4AC-4AD8-B3C9-FD57FD40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356</Words>
  <Characters>2280</Characters>
  <CharactersWithSpaces>2635</CharactersWithSpaces>
  <Paragraphs>18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2023-08-02T11:14:00Z</dcterms:created>
  <dc:creator>Обиход Владимир Анатольевич</dc:creator>
  <dc:description/>
  <dc:language>ru-RU</dc:language>
  <cp:lastModifiedBy>Обиход Владимир Анатольевич</cp:lastModifiedBy>
  <cp:lastPrinted>2023-08-03T14:50:19Z</cp:lastPrinted>
  <dcterms:modified xsi:type="dcterms:W3CDTF">2023-08-02T11:14:00Z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