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06.02.2025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spacing w:lineRule="auto" w:line="276" w:before="0" w:afterAutospacing="1"/>
        <w:jc w:val="both"/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sz w:val="28"/>
        </w:rPr>
        <w:t>С 1 февраля 2025 года в Краснодарском крае на 9,5% проиндексирован размер материнского капитала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С 1 февраля 2025 года материнский капитал проиндексирован по уровню фактической инфляции на 9,5%. Теперь он составляет: </w:t>
      </w:r>
    </w:p>
    <w:p>
      <w:pPr>
        <w:pStyle w:val="Normal"/>
        <w:shd w:val="clear" w:color="auto" w:fill="FFFFFF"/>
        <w:spacing w:lineRule="auto" w:line="276" w:before="0" w:afterAutospacing="1"/>
        <w:jc w:val="both"/>
        <w:rPr>
          <w:rFonts w:ascii="Montserrat" w:hAnsi="Montserrat" w:cs="Arial"/>
          <w:sz w:val="28"/>
          <w:szCs w:val="28"/>
        </w:rPr>
      </w:pPr>
      <w:r>
        <w:rPr>
          <w:rFonts w:cs="Arial" w:ascii="Montserrat" w:hAnsi="Montserrat"/>
          <w:sz w:val="28"/>
          <w:szCs w:val="28"/>
        </w:rPr>
        <w:t>690 266,95 рублей — для семей с одним ребенком, который родился или был усыновлён после 2020 года. Также эта сумма положена семьям с двумя детьми, рождёнными или усыновлёнными в период с 2007 по 2019 год;</w:t>
      </w:r>
    </w:p>
    <w:p>
      <w:pPr>
        <w:pStyle w:val="Normal"/>
        <w:shd w:val="clear" w:color="auto" w:fill="FFFFFF"/>
        <w:spacing w:lineRule="auto" w:line="276" w:before="0" w:afterAutospacing="1"/>
        <w:jc w:val="both"/>
        <w:rPr>
          <w:rFonts w:ascii="Montserrat" w:hAnsi="Montserrat" w:cs="Arial"/>
          <w:sz w:val="28"/>
          <w:szCs w:val="28"/>
        </w:rPr>
      </w:pPr>
      <w:r>
        <w:rPr>
          <w:rFonts w:cs="Arial" w:ascii="Montserrat" w:hAnsi="Montserrat"/>
          <w:sz w:val="28"/>
          <w:szCs w:val="28"/>
        </w:rPr>
        <w:t>912 162,09 рубля — для семей, в которых после 2020 года появился второй ребёнок.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Социального фонда России по Краснодарскому краю напоминает, что остаток материнского капитала также увеличен на 9,5%.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 данным Отделения СФР по Краснодарскому краю, всего с начала действия программы сертификаты на материнский капитал на Кубани получили более 589 тысяч семей, из них в 2024 году — 31 тысяча.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На Кубани в 2024 году средства маткапитала использовали: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25 тысяч семей — на улучшение жилищных условий </w:t>
      </w:r>
      <w:r>
        <w:rPr>
          <w:rFonts w:ascii="Montserrat" w:hAnsi="Montserrat"/>
          <w:sz w:val="28"/>
          <w:szCs w:val="28"/>
        </w:rPr>
        <w:t>(покупка жилья, строительство дома, погашение ипотеки);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19,5 тысяч семей — на ежемесячную выплату из средств материнского капитала на любого ребенка до 3 лет;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15 тысяч — на образование детей </w:t>
      </w:r>
      <w:r>
        <w:rPr>
          <w:rFonts w:ascii="Montserrat" w:hAnsi="Montserrat"/>
          <w:sz w:val="28"/>
          <w:szCs w:val="28"/>
        </w:rPr>
        <w:t>(дошкольное образование, средне-специальное и высшее образование, автошколу, курсы и кружки, продленку, проживание в общежитии);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223 семьи — на формирование накопительной пенсии мамы или папы;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3,5 тысячи семей — выплату остатка материнского капитала, если он не превышает 10 тысяч рублей.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–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doNotHyphenateCap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D7C5A-AED8-4542-897F-AEE13B89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LibreOffice/7.3.5.2$Windows_X86_64 LibreOffice_project/184fe81b8c8c30d8b5082578aee2fed2ea847c01</Application>
  <AppVersion>15.0000</AppVersion>
  <Pages>2</Pages>
  <Words>280</Words>
  <Characters>1664</Characters>
  <CharactersWithSpaces>1934</CharactersWithSpaces>
  <Paragraphs>28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2025-01-27T05:36:00Z</dcterms:created>
  <dc:creator>Обиход Владимир Анатольевич</dc:creator>
  <dc:description/>
  <dc:language>ru-RU</dc:language>
  <cp:lastModifiedBy>Абрамкин Вадим Сергеевич</cp:lastModifiedBy>
  <cp:lastPrinted>2025-01-30T05:01:00Z</cp:lastPrinted>
  <dcterms:modified xsi:type="dcterms:W3CDTF">2025-02-06T04:57:00Z</dcterms:modified>
  <cp:revision>14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