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CD3C" w14:textId="0EA7220C" w:rsidR="002753DF" w:rsidRDefault="00263C84" w:rsidP="002753DF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53D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Показатели для </w:t>
      </w:r>
      <w:r w:rsidR="00583A6F">
        <w:rPr>
          <w:rFonts w:ascii="Times New Roman" w:eastAsia="Times New Roman" w:hAnsi="Times New Roman" w:cs="Times New Roman"/>
          <w:b/>
          <w:bCs/>
          <w:sz w:val="32"/>
          <w:szCs w:val="32"/>
        </w:rPr>
        <w:t>подачи</w:t>
      </w:r>
      <w:r w:rsidRPr="002753D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заявления</w:t>
      </w:r>
    </w:p>
    <w:p w14:paraId="4F267FCB" w14:textId="3CFF5AD4" w:rsidR="00621C7D" w:rsidRPr="002753DF" w:rsidRDefault="00263C84" w:rsidP="002753DF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53DF">
        <w:rPr>
          <w:rFonts w:ascii="Times New Roman" w:eastAsia="Times New Roman" w:hAnsi="Times New Roman" w:cs="Times New Roman"/>
          <w:b/>
          <w:bCs/>
          <w:sz w:val="32"/>
          <w:szCs w:val="32"/>
        </w:rPr>
        <w:t>на первую квалификационную категорию</w:t>
      </w:r>
    </w:p>
    <w:p w14:paraId="39D4352A" w14:textId="77777777" w:rsidR="008C0C6F" w:rsidRPr="008C0C6F" w:rsidRDefault="008C0C6F" w:rsidP="008C0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2753DF" w:rsidRPr="002753DF" w14:paraId="396952C1" w14:textId="123E13D2" w:rsidTr="002753DF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4FBF" w14:textId="77777777" w:rsidR="002753DF" w:rsidRPr="002753DF" w:rsidRDefault="002753DF" w:rsidP="00D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первой квалификационной категории</w:t>
            </w:r>
          </w:p>
          <w:p w14:paraId="1FEAE9C6" w14:textId="13102C14" w:rsidR="002753DF" w:rsidRPr="002753DF" w:rsidRDefault="002753DF" w:rsidP="00D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sz w:val="28"/>
                <w:szCs w:val="28"/>
              </w:rPr>
              <w:t>(п. 35 Порядка проведения аттестации педагогических работников)</w:t>
            </w:r>
          </w:p>
        </w:tc>
      </w:tr>
      <w:tr w:rsidR="002753DF" w:rsidRPr="002753DF" w14:paraId="138CF57B" w14:textId="5DA64C00" w:rsidTr="002753DF">
        <w:trPr>
          <w:trHeight w:val="271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ABCAE" w14:textId="5348598E" w:rsidR="002753DF" w:rsidRPr="002753DF" w:rsidRDefault="002753DF" w:rsidP="001E2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2753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5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Стабильные положительные результаты освоения обучающимися образовательных программ в области искусств по итогам мониторингов и иных форм контроля, проводимых организацией.</w:t>
            </w:r>
          </w:p>
          <w:p w14:paraId="19418DBF" w14:textId="10314D20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 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 05.08.2013 № 662 «Об осуществлении мониторинга системы образования»:</w:t>
            </w:r>
          </w:p>
        </w:tc>
      </w:tr>
      <w:tr w:rsidR="002753DF" w:rsidRPr="002753DF" w14:paraId="2C09F6CC" w14:textId="77777777" w:rsidTr="002753DF">
        <w:trPr>
          <w:trHeight w:val="85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19F5" w14:textId="6F10A1F8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стабильные показатели качества промежуточной аттестации обучающихся (выше 3,8 баллов); </w:t>
            </w:r>
          </w:p>
        </w:tc>
      </w:tr>
      <w:tr w:rsidR="002753DF" w:rsidRPr="002753DF" w14:paraId="2222A999" w14:textId="77777777" w:rsidTr="002753DF">
        <w:trPr>
          <w:trHeight w:val="83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8B82C" w14:textId="231E7E4D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стабильные показатели качества итоговой аттестации обучающихся (выше 3,8 баллов);</w:t>
            </w:r>
          </w:p>
        </w:tc>
      </w:tr>
      <w:tr w:rsidR="002753DF" w:rsidRPr="002753DF" w14:paraId="3E77E1D1" w14:textId="77777777" w:rsidTr="002753DF">
        <w:trPr>
          <w:trHeight w:val="567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5C4F" w14:textId="04826B45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стабильные показатели сохранности контингента (выше 65%)</w:t>
            </w:r>
          </w:p>
        </w:tc>
      </w:tr>
      <w:tr w:rsidR="002753DF" w:rsidRPr="002753DF" w14:paraId="1E6ACA99" w14:textId="77777777" w:rsidTr="002753DF">
        <w:trPr>
          <w:trHeight w:val="111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7CC59" w14:textId="3D863265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обучающихся, поступивших в профессиональные образовательные организации и образовательные организации высшего образования в области культуры (до 3 чел.)</w:t>
            </w:r>
          </w:p>
        </w:tc>
      </w:tr>
      <w:tr w:rsidR="002753DF" w:rsidRPr="002753DF" w14:paraId="4FE8150D" w14:textId="1858A2E7" w:rsidTr="002753DF">
        <w:trPr>
          <w:trHeight w:val="111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345C" w14:textId="7EADD01C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Выявление развития у обучающихся способностей к научной (интеллектуальной), творческой, физкультурно-спортивной деятельности:</w:t>
            </w:r>
          </w:p>
        </w:tc>
      </w:tr>
      <w:tr w:rsidR="002753DF" w:rsidRPr="002753DF" w14:paraId="37D72FB4" w14:textId="77777777" w:rsidTr="002753DF">
        <w:trPr>
          <w:trHeight w:val="8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C4055" w14:textId="59F8E173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и/или победа обучающихся в фестивалях, конкурсах, олимпиадах школьного, муниципального, краевого уровней, проводимых в очном формате;</w:t>
            </w:r>
          </w:p>
        </w:tc>
      </w:tr>
      <w:tr w:rsidR="002753DF" w:rsidRPr="002753DF" w14:paraId="40ADDF7E" w14:textId="77777777" w:rsidTr="002753DF">
        <w:trPr>
          <w:trHeight w:val="84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9C0D" w14:textId="0F6121C1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мастер-классах, творческих школах, пленэрах школьного, муниципального уровней;</w:t>
            </w:r>
          </w:p>
        </w:tc>
      </w:tr>
      <w:tr w:rsidR="002753DF" w:rsidRPr="002753DF" w14:paraId="2DA90F49" w14:textId="77777777" w:rsidTr="002753DF">
        <w:trPr>
          <w:trHeight w:val="830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6059" w14:textId="2FEB7906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концертной, выставочной, просветительской деятельности на школьном, муниципальном уровнях;</w:t>
            </w:r>
          </w:p>
        </w:tc>
      </w:tr>
      <w:tr w:rsidR="002753DF" w:rsidRPr="002753DF" w14:paraId="29DB5C83" w14:textId="77777777" w:rsidTr="002753DF">
        <w:trPr>
          <w:trHeight w:val="98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F44C" w14:textId="2027B4DD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выступление обучающихся с докладами на конференциях, форумах, круглых столах различной направленности</w:t>
            </w:r>
          </w:p>
        </w:tc>
      </w:tr>
      <w:tr w:rsidR="002753DF" w:rsidRPr="002753DF" w14:paraId="1DE9CAC2" w14:textId="7094248B" w:rsidTr="002753DF">
        <w:trPr>
          <w:trHeight w:val="169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709" w14:textId="66E23BF9" w:rsidR="002753DF" w:rsidRPr="002753DF" w:rsidRDefault="002753DF" w:rsidP="001C660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 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организации:</w:t>
            </w:r>
          </w:p>
        </w:tc>
      </w:tr>
      <w:tr w:rsidR="002753DF" w:rsidRPr="002753DF" w14:paraId="6F16FB0D" w14:textId="77777777" w:rsidTr="002753DF">
        <w:trPr>
          <w:trHeight w:val="83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A44" w14:textId="778AF974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апробация в образовательной деятельности новых образовательных технологий, современных методов обучения и воспитания;</w:t>
            </w:r>
          </w:p>
        </w:tc>
      </w:tr>
      <w:tr w:rsidR="002753DF" w:rsidRPr="002753DF" w14:paraId="771627D6" w14:textId="77777777" w:rsidTr="002753DF">
        <w:trPr>
          <w:trHeight w:val="1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8E2" w14:textId="7A28D9EE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транслирование в педагогических коллективах опыта практических результатов профессиональной деятельности (представление апробированных образовательных технологий и методов обучения, проведение открытых уроков и мастер-классов);</w:t>
            </w:r>
          </w:p>
        </w:tc>
      </w:tr>
      <w:tr w:rsidR="002753DF" w:rsidRPr="002753DF" w14:paraId="43C3C8C1" w14:textId="77777777" w:rsidTr="002753DF">
        <w:trPr>
          <w:trHeight w:val="1123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244" w14:textId="37161CBB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методической работе отделений, предметных (цикловых) комиссий, методических советов, методических секций, территориальных методических объединений с сообщениями, докладами, презентациями;</w:t>
            </w:r>
            <w:r w:rsidR="00F371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753DF" w:rsidRPr="002753DF" w14:paraId="56630510" w14:textId="77777777" w:rsidTr="002753DF">
        <w:trPr>
          <w:trHeight w:val="55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36F" w14:textId="00D5B8E4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концертно-просветительской, выставочной деятельности;</w:t>
            </w:r>
          </w:p>
        </w:tc>
      </w:tr>
      <w:tr w:rsidR="002753DF" w:rsidRPr="002753DF" w14:paraId="0E069BB4" w14:textId="77777777" w:rsidTr="002753DF">
        <w:trPr>
          <w:trHeight w:val="1119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822" w14:textId="742A59EE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подготовке творческих, образовательных, просветительских проектов (участие в организации мероприятий, создание сценария или положения, информационно-техническое сопровождение и т.д.);</w:t>
            </w:r>
          </w:p>
        </w:tc>
      </w:tr>
      <w:tr w:rsidR="002753DF" w:rsidRPr="002753DF" w14:paraId="115C676C" w14:textId="77777777" w:rsidTr="002753DF">
        <w:trPr>
          <w:trHeight w:val="7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28ED9" w14:textId="263F7B02" w:rsidR="002753DF" w:rsidRPr="002753DF" w:rsidRDefault="002753DF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жюри конкурсов, фестивалей, олимпиад, смотров, состязаний школьного, муниципального уровней</w:t>
            </w:r>
          </w:p>
        </w:tc>
      </w:tr>
    </w:tbl>
    <w:p w14:paraId="1383C84D" w14:textId="6DD5C863" w:rsidR="008C0C6F" w:rsidRPr="008C0C6F" w:rsidRDefault="008C0C6F" w:rsidP="0026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C0C6F" w:rsidRPr="008C0C6F" w:rsidSect="006C2B16">
      <w:head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5F868" w14:textId="77777777" w:rsidR="00967446" w:rsidRDefault="00967446" w:rsidP="00226086">
      <w:pPr>
        <w:spacing w:after="0" w:line="240" w:lineRule="auto"/>
      </w:pPr>
      <w:r>
        <w:separator/>
      </w:r>
    </w:p>
  </w:endnote>
  <w:endnote w:type="continuationSeparator" w:id="0">
    <w:p w14:paraId="3E3FB37B" w14:textId="77777777" w:rsidR="00967446" w:rsidRDefault="00967446" w:rsidP="0022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A658" w14:textId="77777777" w:rsidR="00967446" w:rsidRDefault="00967446" w:rsidP="00226086">
      <w:pPr>
        <w:spacing w:after="0" w:line="240" w:lineRule="auto"/>
      </w:pPr>
      <w:r>
        <w:separator/>
      </w:r>
    </w:p>
  </w:footnote>
  <w:footnote w:type="continuationSeparator" w:id="0">
    <w:p w14:paraId="31C119B5" w14:textId="77777777" w:rsidR="00967446" w:rsidRDefault="00967446" w:rsidP="0022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567994"/>
      <w:docPartObj>
        <w:docPartGallery w:val="Page Numbers (Top of Page)"/>
        <w:docPartUnique/>
      </w:docPartObj>
    </w:sdtPr>
    <w:sdtContent>
      <w:p w14:paraId="4DE0803A" w14:textId="77777777" w:rsidR="00226086" w:rsidRDefault="002260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8A40F42" w14:textId="77777777" w:rsidR="00226086" w:rsidRDefault="00226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83602"/>
    <w:multiLevelType w:val="multilevel"/>
    <w:tmpl w:val="71D8CC1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542C6C9B"/>
    <w:multiLevelType w:val="hybridMultilevel"/>
    <w:tmpl w:val="420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7387">
    <w:abstractNumId w:val="0"/>
  </w:num>
  <w:num w:numId="2" w16cid:durableId="72090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A"/>
    <w:rsid w:val="00087C0D"/>
    <w:rsid w:val="000A1DCD"/>
    <w:rsid w:val="000B4045"/>
    <w:rsid w:val="000C29D3"/>
    <w:rsid w:val="000E70DB"/>
    <w:rsid w:val="000F27E7"/>
    <w:rsid w:val="00130C2D"/>
    <w:rsid w:val="00147E2E"/>
    <w:rsid w:val="00163FD7"/>
    <w:rsid w:val="001B332C"/>
    <w:rsid w:val="001C660D"/>
    <w:rsid w:val="001E2AB8"/>
    <w:rsid w:val="001E4617"/>
    <w:rsid w:val="002129D7"/>
    <w:rsid w:val="0021613E"/>
    <w:rsid w:val="00226086"/>
    <w:rsid w:val="00226E03"/>
    <w:rsid w:val="0024023D"/>
    <w:rsid w:val="0024393E"/>
    <w:rsid w:val="00263C84"/>
    <w:rsid w:val="00272525"/>
    <w:rsid w:val="002753DF"/>
    <w:rsid w:val="002C528B"/>
    <w:rsid w:val="0036571B"/>
    <w:rsid w:val="0041725B"/>
    <w:rsid w:val="00417A68"/>
    <w:rsid w:val="00434AE1"/>
    <w:rsid w:val="00435B2D"/>
    <w:rsid w:val="00453B35"/>
    <w:rsid w:val="0048059E"/>
    <w:rsid w:val="004C199A"/>
    <w:rsid w:val="00514B13"/>
    <w:rsid w:val="00583A6F"/>
    <w:rsid w:val="005A2103"/>
    <w:rsid w:val="005F0C95"/>
    <w:rsid w:val="0061181A"/>
    <w:rsid w:val="00621C7D"/>
    <w:rsid w:val="00636D50"/>
    <w:rsid w:val="0064102C"/>
    <w:rsid w:val="006705D8"/>
    <w:rsid w:val="006C2B16"/>
    <w:rsid w:val="006E0381"/>
    <w:rsid w:val="00796EDA"/>
    <w:rsid w:val="00864062"/>
    <w:rsid w:val="00877BEA"/>
    <w:rsid w:val="00886AC0"/>
    <w:rsid w:val="008A7A64"/>
    <w:rsid w:val="008B609F"/>
    <w:rsid w:val="008C0C6F"/>
    <w:rsid w:val="008D01D5"/>
    <w:rsid w:val="008E5CF9"/>
    <w:rsid w:val="0090169E"/>
    <w:rsid w:val="00967446"/>
    <w:rsid w:val="00977D90"/>
    <w:rsid w:val="009D637A"/>
    <w:rsid w:val="00A01C4F"/>
    <w:rsid w:val="00A57829"/>
    <w:rsid w:val="00AA7E85"/>
    <w:rsid w:val="00B41904"/>
    <w:rsid w:val="00B449FE"/>
    <w:rsid w:val="00BC0ED3"/>
    <w:rsid w:val="00C201D7"/>
    <w:rsid w:val="00C64899"/>
    <w:rsid w:val="00C72B36"/>
    <w:rsid w:val="00CE2F79"/>
    <w:rsid w:val="00D05B51"/>
    <w:rsid w:val="00D116F8"/>
    <w:rsid w:val="00D4697F"/>
    <w:rsid w:val="00D83F74"/>
    <w:rsid w:val="00DB64DA"/>
    <w:rsid w:val="00DD0B66"/>
    <w:rsid w:val="00DD731D"/>
    <w:rsid w:val="00EC22E2"/>
    <w:rsid w:val="00F26474"/>
    <w:rsid w:val="00F371F5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C153"/>
  <w15:docId w15:val="{15EE18CA-D38F-4738-A214-119454E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6F"/>
    <w:pPr>
      <w:ind w:left="720"/>
      <w:contextualSpacing/>
    </w:pPr>
  </w:style>
  <w:style w:type="paragraph" w:customStyle="1" w:styleId="ConsPlusNormal">
    <w:name w:val="ConsPlusNormal"/>
    <w:rsid w:val="008C0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C0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608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0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919C-E715-4785-B340-D2FFDD8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Методист</cp:lastModifiedBy>
  <cp:revision>7</cp:revision>
  <cp:lastPrinted>2023-09-07T09:20:00Z</cp:lastPrinted>
  <dcterms:created xsi:type="dcterms:W3CDTF">2023-10-13T07:25:00Z</dcterms:created>
  <dcterms:modified xsi:type="dcterms:W3CDTF">2024-09-25T10:10:00Z</dcterms:modified>
</cp:coreProperties>
</file>