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Приложение </w:t>
      </w:r>
    </w:p>
    <w:p w14:paraId="02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к  приказу отдела образования,</w:t>
      </w:r>
    </w:p>
    <w:p w14:paraId="03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опеки и попечительств</w:t>
      </w:r>
      <w:r>
        <w:rPr>
          <w:rFonts w:ascii="Arial" w:hAnsi="Arial"/>
          <w:sz w:val="20"/>
        </w:rPr>
        <w:t>а</w:t>
      </w:r>
      <w:r>
        <w:rPr>
          <w:rFonts w:ascii="Arial" w:hAnsi="Arial"/>
          <w:sz w:val="20"/>
        </w:rPr>
        <w:t xml:space="preserve"> </w:t>
      </w:r>
    </w:p>
    <w:p w14:paraId="04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администрации Светлоярского </w:t>
      </w:r>
    </w:p>
    <w:p w14:paraId="05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муниципального  района</w:t>
      </w:r>
    </w:p>
    <w:p w14:paraId="06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Волгоградской области</w:t>
      </w:r>
      <w:r>
        <w:rPr>
          <w:rFonts w:ascii="Arial" w:hAnsi="Arial"/>
          <w:sz w:val="20"/>
        </w:rPr>
        <w:t xml:space="preserve"> </w:t>
      </w:r>
    </w:p>
    <w:p w14:paraId="07000000">
      <w:pPr>
        <w:widowControl w:val="1"/>
        <w:ind w:firstLine="70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от  23.07.2026 </w:t>
      </w:r>
      <w:r>
        <w:rPr>
          <w:rFonts w:ascii="Arial" w:hAnsi="Arial"/>
          <w:sz w:val="20"/>
        </w:rPr>
        <w:t xml:space="preserve"> №</w:t>
      </w:r>
      <w:r>
        <w:rPr>
          <w:rFonts w:ascii="Arial" w:hAnsi="Arial"/>
          <w:sz w:val="20"/>
        </w:rPr>
        <w:t>______</w:t>
      </w:r>
      <w:r>
        <w:rPr>
          <w:rFonts w:ascii="Arial" w:hAnsi="Arial"/>
          <w:sz w:val="20"/>
        </w:rPr>
        <w:t xml:space="preserve">    </w:t>
      </w:r>
    </w:p>
    <w:p w14:paraId="08000000">
      <w:pPr>
        <w:widowControl w:val="1"/>
        <w:ind w:firstLine="709"/>
        <w:jc w:val="right"/>
        <w:rPr>
          <w:rFonts w:ascii="Arial" w:hAnsi="Arial"/>
          <w:sz w:val="20"/>
        </w:rPr>
      </w:pPr>
    </w:p>
    <w:p w14:paraId="09000000">
      <w:pPr>
        <w:widowControl w:val="1"/>
        <w:ind w:firstLine="709"/>
        <w:jc w:val="right"/>
        <w:rPr>
          <w:rFonts w:ascii="Arial" w:hAnsi="Arial"/>
          <w:sz w:val="20"/>
        </w:rPr>
      </w:pPr>
    </w:p>
    <w:p w14:paraId="0A000000">
      <w:pPr>
        <w:widowControl w:val="0"/>
        <w:ind w:left="140"/>
        <w:contextualSpacing w:val="0"/>
        <w:jc w:val="center"/>
        <w:rPr>
          <w:rFonts w:ascii="Arial" w:hAnsi="Arial"/>
          <w:sz w:val="22"/>
        </w:rPr>
      </w:pPr>
      <w:r>
        <w:rPr>
          <w:rFonts w:ascii="Arial" w:hAnsi="Arial"/>
        </w:rPr>
        <w:t>Календарный учебный график на 2026-2027 учебный год</w:t>
      </w:r>
    </w:p>
    <w:p w14:paraId="0B000000">
      <w:pPr>
        <w:widowControl w:val="1"/>
        <w:ind/>
        <w:jc w:val="center"/>
        <w:rPr>
          <w:rStyle w:val="Style_1_ch"/>
          <w:rFonts w:ascii="Arial" w:hAnsi="Arial"/>
        </w:rPr>
      </w:pPr>
    </w:p>
    <w:p w14:paraId="0C000000">
      <w:pPr>
        <w:widowControl w:val="1"/>
        <w:ind/>
        <w:jc w:val="center"/>
        <w:rPr>
          <w:rStyle w:val="Style_1_ch"/>
          <w:rFonts w:ascii="Arial" w:hAnsi="Arial"/>
        </w:rPr>
      </w:pPr>
    </w:p>
    <w:tbl>
      <w:tblPr>
        <w:tblStyle w:val="Style_2"/>
        <w:tblW w:type="auto" w:w="0"/>
        <w:tblLayout w:type="fixed"/>
      </w:tblPr>
      <w:tblGrid>
        <w:gridCol w:w="1668"/>
        <w:gridCol w:w="2504"/>
        <w:gridCol w:w="2011"/>
        <w:gridCol w:w="2085"/>
        <w:gridCol w:w="2860"/>
        <w:gridCol w:w="3432"/>
      </w:tblGrid>
      <w:tr>
        <w:trPr>
          <w:trHeight w:hRule="atLeast" w:val="345"/>
        </w:trPr>
        <w:tc>
          <w:tcPr>
            <w:tcW w:type="dxa" w:w="1668"/>
            <w:vMerge w:val="restart"/>
          </w:tcPr>
          <w:p w14:paraId="0D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Учебный период</w:t>
            </w:r>
          </w:p>
        </w:tc>
        <w:tc>
          <w:tcPr>
            <w:tcW w:type="dxa" w:w="2504"/>
            <w:vMerge w:val="restart"/>
          </w:tcPr>
          <w:p w14:paraId="0E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Периоды учебной деятельности</w:t>
            </w:r>
          </w:p>
        </w:tc>
        <w:tc>
          <w:tcPr>
            <w:tcW w:type="dxa" w:w="6956"/>
            <w:gridSpan w:val="3"/>
            <w:tcBorders>
              <w:bottom w:color="000000" w:sz="4" w:val="single"/>
            </w:tcBorders>
          </w:tcPr>
          <w:p w14:paraId="0F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Продолжительность каникул</w:t>
            </w:r>
          </w:p>
        </w:tc>
        <w:tc>
          <w:tcPr>
            <w:tcW w:type="dxa" w:w="3432"/>
            <w:vMerge w:val="restart"/>
          </w:tcPr>
          <w:p w14:paraId="10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Каникулярный период</w:t>
            </w:r>
          </w:p>
        </w:tc>
      </w:tr>
      <w:tr>
        <w:trPr>
          <w:trHeight w:hRule="atLeast" w:val="195"/>
        </w:trPr>
        <w:tc>
          <w:tcPr>
            <w:tcW w:type="dxa" w:w="1668"/>
            <w:gridSpan w:val="1"/>
            <w:vMerge w:val="continue"/>
          </w:tcPr>
          <w:p/>
        </w:tc>
        <w:tc>
          <w:tcPr>
            <w:tcW w:type="dxa" w:w="2504"/>
            <w:gridSpan w:val="1"/>
            <w:vMerge w:val="continue"/>
          </w:tcPr>
          <w:p/>
        </w:tc>
        <w:tc>
          <w:tcPr>
            <w:tcW w:type="dxa" w:w="2011"/>
            <w:tcBorders>
              <w:top w:color="000000" w:sz="4" w:val="single"/>
              <w:right w:color="000000" w:sz="4" w:val="single"/>
            </w:tcBorders>
          </w:tcPr>
          <w:p w14:paraId="11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Начало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12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Окончание</w:t>
            </w:r>
          </w:p>
        </w:tc>
        <w:tc>
          <w:tcPr>
            <w:tcW w:type="dxa" w:w="286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3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Календарных дней</w:t>
            </w:r>
          </w:p>
        </w:tc>
        <w:tc>
          <w:tcPr>
            <w:tcW w:type="dxa" w:w="3432"/>
            <w:gridSpan w:val="1"/>
            <w:vMerge w:val="continue"/>
          </w:tcPr>
          <w:p/>
        </w:tc>
      </w:tr>
      <w:tr>
        <w:trPr>
          <w:trHeight w:hRule="atLeast" w:val="165"/>
        </w:trPr>
        <w:tc>
          <w:tcPr>
            <w:tcW w:type="dxa" w:w="1668"/>
            <w:vMerge w:val="restart"/>
          </w:tcPr>
          <w:p w14:paraId="14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 триместр</w:t>
            </w:r>
          </w:p>
        </w:tc>
        <w:tc>
          <w:tcPr>
            <w:tcW w:type="dxa" w:w="2504"/>
            <w:tcBorders>
              <w:bottom w:color="000000" w:sz="4" w:val="single"/>
            </w:tcBorders>
          </w:tcPr>
          <w:p w14:paraId="15000000">
            <w:pPr>
              <w:widowControl w:val="1"/>
              <w:ind/>
              <w:jc w:val="center"/>
              <w:rPr>
                <w:rStyle w:val="Style_1_ch"/>
                <w:rFonts w:ascii="Arial" w:hAnsi="Arial"/>
                <w:b w:val="1"/>
              </w:rPr>
            </w:pPr>
            <w:r>
              <w:rPr>
                <w:rStyle w:val="Style_1_ch"/>
                <w:rFonts w:ascii="Arial" w:hAnsi="Arial"/>
                <w:b w:val="1"/>
              </w:rPr>
              <w:t>Первый модуль</w:t>
            </w:r>
          </w:p>
          <w:p w14:paraId="16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01.09.2026-02.10.2026</w:t>
            </w:r>
          </w:p>
        </w:tc>
        <w:tc>
          <w:tcPr>
            <w:tcW w:type="dxa" w:w="2011"/>
            <w:tcBorders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05.10.2026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11.10.2026</w:t>
            </w:r>
          </w:p>
        </w:tc>
        <w:tc>
          <w:tcPr>
            <w:tcW w:type="dxa" w:w="2860"/>
            <w:tcBorders>
              <w:left w:color="000000" w:sz="4" w:val="single"/>
              <w:bottom w:color="000000" w:sz="4" w:val="single"/>
            </w:tcBorders>
          </w:tcPr>
          <w:p w14:paraId="19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7</w:t>
            </w:r>
          </w:p>
        </w:tc>
        <w:tc>
          <w:tcPr>
            <w:tcW w:type="dxa" w:w="3432"/>
            <w:tcBorders>
              <w:bottom w:color="000000" w:sz="4" w:val="single"/>
            </w:tcBorders>
          </w:tcPr>
          <w:p w14:paraId="1A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Осенние каникулы 1</w:t>
            </w:r>
          </w:p>
        </w:tc>
      </w:tr>
      <w:tr>
        <w:trPr>
          <w:trHeight w:hRule="atLeast" w:val="120"/>
        </w:trPr>
        <w:tc>
          <w:tcPr>
            <w:tcW w:type="dxa" w:w="1668"/>
            <w:gridSpan w:val="1"/>
            <w:vMerge w:val="continue"/>
          </w:tcPr>
          <w:p/>
        </w:tc>
        <w:tc>
          <w:tcPr>
            <w:tcW w:type="dxa" w:w="2504"/>
            <w:tcBorders>
              <w:top w:color="000000" w:sz="4" w:val="single"/>
            </w:tcBorders>
          </w:tcPr>
          <w:p w14:paraId="1B000000">
            <w:pPr>
              <w:widowControl w:val="1"/>
              <w:ind/>
              <w:jc w:val="center"/>
              <w:rPr>
                <w:rStyle w:val="Style_1_ch"/>
                <w:rFonts w:ascii="Arial" w:hAnsi="Arial"/>
                <w:b w:val="1"/>
              </w:rPr>
            </w:pPr>
            <w:r>
              <w:rPr>
                <w:rStyle w:val="Style_1_ch"/>
                <w:rFonts w:ascii="Arial" w:hAnsi="Arial"/>
                <w:b w:val="1"/>
              </w:rPr>
              <w:t>Второй модуль</w:t>
            </w:r>
          </w:p>
          <w:p w14:paraId="1C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12.10.2026- 13.11.2026</w:t>
            </w:r>
          </w:p>
        </w:tc>
        <w:tc>
          <w:tcPr>
            <w:tcW w:type="dxa" w:w="2011"/>
            <w:tcBorders>
              <w:top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16.11.2026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22.11.2026</w:t>
            </w:r>
          </w:p>
        </w:tc>
        <w:tc>
          <w:tcPr>
            <w:tcW w:type="dxa" w:w="2860"/>
            <w:tcBorders>
              <w:top w:color="000000" w:sz="4" w:val="single"/>
              <w:left w:color="000000" w:sz="4" w:val="single"/>
            </w:tcBorders>
          </w:tcPr>
          <w:p w14:paraId="1F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7</w:t>
            </w:r>
          </w:p>
        </w:tc>
        <w:tc>
          <w:tcPr>
            <w:tcW w:type="dxa" w:w="3432"/>
            <w:tcBorders>
              <w:top w:color="000000" w:sz="4" w:val="single"/>
            </w:tcBorders>
          </w:tcPr>
          <w:p w14:paraId="20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Осенние каникулы 2</w:t>
            </w:r>
          </w:p>
        </w:tc>
      </w:tr>
      <w:tr>
        <w:trPr>
          <w:trHeight w:hRule="atLeast" w:val="120"/>
        </w:trPr>
        <w:tc>
          <w:tcPr>
            <w:tcW w:type="dxa" w:w="1668"/>
            <w:vMerge w:val="restart"/>
          </w:tcPr>
          <w:p w14:paraId="21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2 триместр</w:t>
            </w:r>
          </w:p>
        </w:tc>
        <w:tc>
          <w:tcPr>
            <w:tcW w:type="dxa" w:w="2504"/>
            <w:tcBorders>
              <w:bottom w:color="000000" w:sz="4" w:val="single"/>
            </w:tcBorders>
          </w:tcPr>
          <w:p w14:paraId="22000000">
            <w:pPr>
              <w:widowControl w:val="1"/>
              <w:ind/>
              <w:jc w:val="center"/>
              <w:rPr>
                <w:rStyle w:val="Style_1_ch"/>
                <w:rFonts w:ascii="Arial" w:hAnsi="Arial"/>
                <w:b w:val="1"/>
              </w:rPr>
            </w:pPr>
            <w:r>
              <w:rPr>
                <w:rStyle w:val="Style_1_ch"/>
                <w:rFonts w:ascii="Arial" w:hAnsi="Arial"/>
                <w:b w:val="1"/>
              </w:rPr>
              <w:t>Третий модуль</w:t>
            </w:r>
          </w:p>
          <w:p w14:paraId="23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23.11.2026-30.12.2026</w:t>
            </w:r>
          </w:p>
          <w:p w14:paraId="24000000">
            <w:pPr>
              <w:rPr>
                <w:rStyle w:val="Style_1_ch"/>
                <w:rFonts w:ascii="Arial" w:hAnsi="Arial"/>
              </w:rPr>
            </w:pPr>
          </w:p>
        </w:tc>
        <w:tc>
          <w:tcPr>
            <w:tcW w:type="dxa" w:w="2011"/>
            <w:tcBorders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31.12.2026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10.01.2027</w:t>
            </w:r>
          </w:p>
        </w:tc>
        <w:tc>
          <w:tcPr>
            <w:tcW w:type="dxa" w:w="2860"/>
            <w:tcBorders>
              <w:left w:color="000000" w:sz="4" w:val="single"/>
              <w:bottom w:color="000000" w:sz="4" w:val="single"/>
            </w:tcBorders>
          </w:tcPr>
          <w:p w14:paraId="27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11</w:t>
            </w:r>
          </w:p>
        </w:tc>
        <w:tc>
          <w:tcPr>
            <w:tcW w:type="dxa" w:w="3432"/>
            <w:tcBorders>
              <w:bottom w:color="000000" w:sz="4" w:val="single"/>
            </w:tcBorders>
          </w:tcPr>
          <w:p w14:paraId="28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Зимние каникулы 1</w:t>
            </w:r>
          </w:p>
        </w:tc>
      </w:tr>
      <w:tr>
        <w:trPr>
          <w:trHeight w:hRule="atLeast" w:val="150"/>
        </w:trPr>
        <w:tc>
          <w:tcPr>
            <w:tcW w:type="dxa" w:w="1668"/>
            <w:gridSpan w:val="1"/>
            <w:vMerge w:val="continue"/>
          </w:tcPr>
          <w:p/>
        </w:tc>
        <w:tc>
          <w:tcPr>
            <w:tcW w:type="dxa" w:w="2504"/>
            <w:tcBorders>
              <w:top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Style w:val="Style_1_ch"/>
                <w:rFonts w:ascii="Arial" w:hAnsi="Arial"/>
                <w:b w:val="1"/>
              </w:rPr>
            </w:pPr>
            <w:r>
              <w:rPr>
                <w:rStyle w:val="Style_1_ch"/>
                <w:rFonts w:ascii="Arial" w:hAnsi="Arial"/>
                <w:b w:val="1"/>
              </w:rPr>
              <w:t>Четвертый модуль</w:t>
            </w:r>
          </w:p>
          <w:p w14:paraId="2A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11.01.2027-20.02.2027</w:t>
            </w:r>
          </w:p>
        </w:tc>
        <w:tc>
          <w:tcPr>
            <w:tcW w:type="dxa" w:w="2011"/>
            <w:tcBorders>
              <w:top w:color="000000" w:sz="4" w:val="single"/>
              <w:right w:color="000000" w:sz="4" w:val="single"/>
            </w:tcBorders>
          </w:tcPr>
          <w:p w14:paraId="2B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22.02.2027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2C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28.02.2027</w:t>
            </w:r>
          </w:p>
        </w:tc>
        <w:tc>
          <w:tcPr>
            <w:tcW w:type="dxa" w:w="2860"/>
            <w:tcBorders>
              <w:top w:color="000000" w:sz="4" w:val="single"/>
              <w:left w:color="000000" w:sz="4" w:val="single"/>
            </w:tcBorders>
          </w:tcPr>
          <w:p w14:paraId="2D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7</w:t>
            </w:r>
          </w:p>
        </w:tc>
        <w:tc>
          <w:tcPr>
            <w:tcW w:type="dxa" w:w="3432"/>
            <w:tcBorders>
              <w:top w:color="000000" w:sz="4" w:val="single"/>
            </w:tcBorders>
          </w:tcPr>
          <w:p w14:paraId="2E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Зимние каникулы 2</w:t>
            </w:r>
          </w:p>
        </w:tc>
      </w:tr>
      <w:tr>
        <w:tc>
          <w:tcPr>
            <w:tcW w:type="dxa" w:w="1668"/>
            <w:vMerge w:val="restart"/>
          </w:tcPr>
          <w:p w14:paraId="2F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3 триместр</w:t>
            </w:r>
          </w:p>
        </w:tc>
        <w:tc>
          <w:tcPr>
            <w:tcW w:type="dxa" w:w="2504"/>
          </w:tcPr>
          <w:p w14:paraId="30000000">
            <w:pPr>
              <w:widowControl w:val="1"/>
              <w:ind/>
              <w:jc w:val="center"/>
              <w:rPr>
                <w:rStyle w:val="Style_1_ch"/>
                <w:rFonts w:ascii="Arial" w:hAnsi="Arial"/>
                <w:b w:val="1"/>
              </w:rPr>
            </w:pPr>
            <w:r>
              <w:rPr>
                <w:rStyle w:val="Style_1_ch"/>
                <w:rFonts w:ascii="Arial" w:hAnsi="Arial"/>
                <w:b w:val="1"/>
              </w:rPr>
              <w:t>Пятый модуль</w:t>
            </w:r>
          </w:p>
          <w:p w14:paraId="31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01.03.2027-</w:t>
            </w:r>
            <w:r>
              <w:rPr>
                <w:rStyle w:val="Style_1_ch"/>
                <w:rFonts w:ascii="Arial" w:hAnsi="Arial"/>
              </w:rPr>
              <w:t>09.04.2027</w:t>
            </w:r>
          </w:p>
        </w:tc>
        <w:tc>
          <w:tcPr>
            <w:tcW w:type="dxa" w:w="2011"/>
            <w:tcBorders>
              <w:right w:color="000000" w:sz="4" w:val="single"/>
            </w:tcBorders>
          </w:tcPr>
          <w:p w14:paraId="32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12.04.2027</w:t>
            </w:r>
          </w:p>
        </w:tc>
        <w:tc>
          <w:tcPr>
            <w:tcW w:type="dxa" w:w="2085"/>
            <w:tcBorders>
              <w:left w:color="000000" w:sz="4" w:val="single"/>
              <w:right w:color="000000" w:sz="4" w:val="single"/>
            </w:tcBorders>
          </w:tcPr>
          <w:p w14:paraId="33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18.04.2027</w:t>
            </w:r>
          </w:p>
        </w:tc>
        <w:tc>
          <w:tcPr>
            <w:tcW w:type="dxa" w:w="2860"/>
            <w:tcBorders>
              <w:left w:color="000000" w:sz="4" w:val="single"/>
            </w:tcBorders>
          </w:tcPr>
          <w:p w14:paraId="34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7</w:t>
            </w:r>
          </w:p>
        </w:tc>
        <w:tc>
          <w:tcPr>
            <w:tcW w:type="dxa" w:w="3432"/>
          </w:tcPr>
          <w:p w14:paraId="35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 xml:space="preserve">Весенние каникулы </w:t>
            </w:r>
          </w:p>
        </w:tc>
      </w:tr>
      <w:tr>
        <w:tc>
          <w:tcPr>
            <w:tcW w:type="dxa" w:w="1668"/>
            <w:gridSpan w:val="1"/>
            <w:vMerge w:val="continue"/>
          </w:tcPr>
          <w:p/>
        </w:tc>
        <w:tc>
          <w:tcPr>
            <w:tcW w:type="dxa" w:w="2504"/>
          </w:tcPr>
          <w:p w14:paraId="36000000">
            <w:pPr>
              <w:widowControl w:val="1"/>
              <w:ind/>
              <w:jc w:val="center"/>
              <w:rPr>
                <w:rStyle w:val="Style_1_ch"/>
                <w:rFonts w:ascii="Arial" w:hAnsi="Arial"/>
                <w:b w:val="1"/>
              </w:rPr>
            </w:pPr>
            <w:r>
              <w:rPr>
                <w:rStyle w:val="Style_1_ch"/>
                <w:rFonts w:ascii="Arial" w:hAnsi="Arial"/>
                <w:b w:val="1"/>
              </w:rPr>
              <w:t>Шестой модуль</w:t>
            </w:r>
          </w:p>
          <w:p w14:paraId="37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19.04.2027-28.05.2027</w:t>
            </w:r>
          </w:p>
        </w:tc>
        <w:tc>
          <w:tcPr>
            <w:tcW w:type="dxa" w:w="2011"/>
            <w:tcBorders>
              <w:right w:color="000000" w:sz="4" w:val="single"/>
            </w:tcBorders>
          </w:tcPr>
          <w:p w14:paraId="38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31.05.2027</w:t>
            </w:r>
          </w:p>
        </w:tc>
        <w:tc>
          <w:tcPr>
            <w:tcW w:type="dxa" w:w="2085"/>
            <w:tcBorders>
              <w:left w:color="000000" w:sz="4" w:val="single"/>
              <w:right w:color="000000" w:sz="4" w:val="single"/>
            </w:tcBorders>
          </w:tcPr>
          <w:p w14:paraId="39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31.08.2027</w:t>
            </w:r>
          </w:p>
        </w:tc>
        <w:tc>
          <w:tcPr>
            <w:tcW w:type="dxa" w:w="2860"/>
            <w:tcBorders>
              <w:left w:color="000000" w:sz="4" w:val="single"/>
            </w:tcBorders>
          </w:tcPr>
          <w:p w14:paraId="3A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>93</w:t>
            </w:r>
          </w:p>
        </w:tc>
        <w:tc>
          <w:tcPr>
            <w:tcW w:type="dxa" w:w="3432"/>
          </w:tcPr>
          <w:p w14:paraId="3B000000">
            <w:pPr>
              <w:widowControl w:val="1"/>
              <w:ind/>
              <w:jc w:val="center"/>
              <w:rPr>
                <w:rStyle w:val="Style_1_ch"/>
                <w:rFonts w:ascii="Arial" w:hAnsi="Arial"/>
              </w:rPr>
            </w:pPr>
            <w:r>
              <w:rPr>
                <w:rStyle w:val="Style_1_ch"/>
                <w:rFonts w:ascii="Arial" w:hAnsi="Arial"/>
              </w:rPr>
              <w:t xml:space="preserve">Летние каникулы </w:t>
            </w:r>
          </w:p>
        </w:tc>
      </w:tr>
    </w:tbl>
    <w:p w14:paraId="3C000000">
      <w:pPr>
        <w:widowControl w:val="1"/>
        <w:ind/>
        <w:jc w:val="center"/>
        <w:rPr>
          <w:rStyle w:val="Style_1_ch"/>
          <w:rFonts w:ascii="Arial" w:hAnsi="Arial"/>
        </w:rPr>
      </w:pPr>
    </w:p>
    <w:p w14:paraId="3D000000">
      <w:pPr>
        <w:widowControl w:val="1"/>
        <w:ind/>
        <w:jc w:val="center"/>
      </w:pPr>
    </w:p>
    <w:sectPr>
      <w:pgSz w:h="11906" w:orient="landscape" w:w="16838"/>
      <w:pgMar w:bottom="850" w:footer="708" w:gutter="0" w:header="708" w:left="1134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  <w:contextualSpacing w:val="1"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widowControl w:val="1"/>
      <w:spacing w:before="40" w:line="259" w:lineRule="auto"/>
      <w:ind/>
      <w:contextualSpacing w:val="0"/>
      <w:outlineLvl w:val="6"/>
    </w:pPr>
    <w:rPr>
      <w:rFonts w:asciiTheme="minorAscii" w:hAnsiTheme="minorHAnsi"/>
      <w:color w:themeColor="text1" w:themeTint="A6" w:val="595959"/>
      <w:sz w:val="22"/>
    </w:rPr>
  </w:style>
  <w:style w:styleId="Style_6_ch" w:type="character">
    <w:name w:val="heading 7"/>
    <w:basedOn w:val="Style_3_ch"/>
    <w:link w:val="Style_6"/>
    <w:rPr>
      <w:rFonts w:asciiTheme="minorAscii" w:hAnsiTheme="minorHAnsi"/>
      <w:color w:themeColor="text1" w:themeTint="A6" w:val="595959"/>
      <w:sz w:val="22"/>
    </w:rPr>
  </w:style>
  <w:style w:styleId="Style_1" w:type="paragraph">
    <w:name w:val="Emphasis"/>
    <w:basedOn w:val="Style_7"/>
    <w:link w:val="Style_1_ch"/>
    <w:rPr>
      <w:rFonts w:ascii="Times New Roman" w:hAnsi="Times New Roman"/>
      <w:i w:val="0"/>
      <w:sz w:val="24"/>
    </w:rPr>
  </w:style>
  <w:style w:styleId="Style_1_ch" w:type="character">
    <w:name w:val="Emphasis"/>
    <w:basedOn w:val="Style_7_ch"/>
    <w:link w:val="Style_1"/>
    <w:rPr>
      <w:rFonts w:ascii="Times New Roman" w:hAnsi="Times New Roman"/>
      <w:i w:val="0"/>
      <w:sz w:val="24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80" w:before="160" w:line="259" w:lineRule="auto"/>
      <w:ind/>
      <w:contextualSpacing w:val="0"/>
      <w:outlineLvl w:val="2"/>
    </w:pPr>
    <w:rPr>
      <w:rFonts w:asciiTheme="minorAscii" w:hAnsiTheme="minorHAnsi"/>
      <w:color w:themeColor="accent1" w:themeShade="BF" w:val="2F5496"/>
      <w:sz w:val="28"/>
    </w:rPr>
  </w:style>
  <w:style w:styleId="Style_11_ch" w:type="character">
    <w:name w:val="heading 3"/>
    <w:basedOn w:val="Style_3_ch"/>
    <w:link w:val="Style_11"/>
    <w:rPr>
      <w:rFonts w:asciiTheme="minorAscii" w:hAnsiTheme="minorHAnsi"/>
      <w:color w:themeColor="accent1" w:themeShade="BF" w:val="2F5496"/>
      <w:sz w:val="28"/>
    </w:rPr>
  </w:style>
  <w:style w:styleId="Style_12" w:type="paragraph">
    <w:name w:val="heading 9"/>
    <w:basedOn w:val="Style_3"/>
    <w:next w:val="Style_3"/>
    <w:link w:val="Style_12_ch"/>
    <w:uiPriority w:val="9"/>
    <w:qFormat/>
    <w:pPr>
      <w:keepNext w:val="1"/>
      <w:keepLines w:val="1"/>
      <w:widowControl w:val="1"/>
      <w:spacing w:line="259" w:lineRule="auto"/>
      <w:ind/>
      <w:contextualSpacing w:val="0"/>
      <w:outlineLvl w:val="8"/>
    </w:pPr>
    <w:rPr>
      <w:rFonts w:asciiTheme="minorAscii" w:hAnsiTheme="minorHAnsi"/>
      <w:color w:themeColor="text1" w:themeTint="D8" w:val="272727"/>
      <w:sz w:val="22"/>
    </w:rPr>
  </w:style>
  <w:style w:styleId="Style_12_ch" w:type="character">
    <w:name w:val="heading 9"/>
    <w:basedOn w:val="Style_3_ch"/>
    <w:link w:val="Style_12"/>
    <w:rPr>
      <w:rFonts w:asciiTheme="minorAscii" w:hAnsiTheme="minorHAnsi"/>
      <w:color w:themeColor="text1" w:themeTint="D8" w:val="272727"/>
      <w:sz w:val="22"/>
    </w:rPr>
  </w:style>
  <w:style w:styleId="Style_13" w:type="paragraph">
    <w:name w:val="Quote"/>
    <w:basedOn w:val="Style_3"/>
    <w:next w:val="Style_3"/>
    <w:link w:val="Style_13_ch"/>
    <w:pPr>
      <w:widowControl w:val="1"/>
      <w:spacing w:after="160" w:before="160" w:line="259" w:lineRule="auto"/>
      <w:ind/>
      <w:contextualSpacing w:val="0"/>
      <w:jc w:val="center"/>
    </w:pPr>
    <w:rPr>
      <w:rFonts w:asciiTheme="minorAscii" w:hAnsiTheme="minorHAnsi"/>
      <w:i w:val="1"/>
      <w:color w:themeColor="text1" w:themeTint="BF" w:val="404040"/>
      <w:sz w:val="22"/>
    </w:rPr>
  </w:style>
  <w:style w:styleId="Style_13_ch" w:type="character">
    <w:name w:val="Quote"/>
    <w:basedOn w:val="Style_3_ch"/>
    <w:link w:val="Style_13"/>
    <w:rPr>
      <w:rFonts w:asciiTheme="minorAscii" w:hAnsiTheme="minorHAnsi"/>
      <w:i w:val="1"/>
      <w:color w:themeColor="text1" w:themeTint="BF" w:val="404040"/>
      <w:sz w:val="22"/>
    </w:rPr>
  </w:style>
  <w:style w:styleId="Style_14" w:type="paragraph">
    <w:name w:val="List Paragraph"/>
    <w:basedOn w:val="Style_3"/>
    <w:link w:val="Style_14_ch"/>
    <w:pPr>
      <w:widowControl w:val="1"/>
      <w:spacing w:after="160" w:line="259" w:lineRule="auto"/>
      <w:ind w:left="720"/>
    </w:pPr>
    <w:rPr>
      <w:rFonts w:asciiTheme="minorAscii" w:hAnsiTheme="minorHAnsi"/>
      <w:sz w:val="22"/>
    </w:rPr>
  </w:style>
  <w:style w:styleId="Style_14_ch" w:type="character">
    <w:name w:val="List Paragraph"/>
    <w:basedOn w:val="Style_3_ch"/>
    <w:link w:val="Style_14"/>
    <w:rPr>
      <w:rFonts w:asciiTheme="minorAscii" w:hAnsiTheme="minorHAnsi"/>
      <w:sz w:val="22"/>
    </w:rPr>
  </w:style>
  <w:style w:styleId="Style_15" w:type="paragraph">
    <w:name w:val="Intense Quote"/>
    <w:basedOn w:val="Style_3"/>
    <w:next w:val="Style_3"/>
    <w:link w:val="Style_1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 w:line="259" w:lineRule="auto"/>
      <w:ind w:left="864" w:right="864"/>
      <w:contextualSpacing w:val="0"/>
      <w:jc w:val="center"/>
    </w:pPr>
    <w:rPr>
      <w:rFonts w:asciiTheme="minorAscii" w:hAnsiTheme="minorHAnsi"/>
      <w:i w:val="1"/>
      <w:color w:themeColor="accent1" w:themeShade="BF" w:val="2F5496"/>
      <w:sz w:val="22"/>
    </w:rPr>
  </w:style>
  <w:style w:styleId="Style_15_ch" w:type="character">
    <w:name w:val="Intense Quote"/>
    <w:basedOn w:val="Style_3_ch"/>
    <w:link w:val="Style_15"/>
    <w:rPr>
      <w:rFonts w:asciiTheme="minorAscii" w:hAnsiTheme="minorHAnsi"/>
      <w:i w:val="1"/>
      <w:color w:themeColor="accent1" w:themeShade="BF" w:val="2F5496"/>
      <w:sz w:val="22"/>
    </w:rPr>
  </w:style>
  <w:style w:styleId="Style_16" w:type="paragraph">
    <w:name w:val="Intense Emphasis"/>
    <w:basedOn w:val="Style_7"/>
    <w:link w:val="Style_16_ch"/>
    <w:rPr>
      <w:i w:val="1"/>
      <w:color w:themeColor="accent1" w:themeShade="BF" w:val="2F5496"/>
    </w:rPr>
  </w:style>
  <w:style w:styleId="Style_16_ch" w:type="character">
    <w:name w:val="Intense Emphasis"/>
    <w:basedOn w:val="Style_7_ch"/>
    <w:link w:val="Style_16"/>
    <w:rPr>
      <w:i w:val="1"/>
      <w:color w:themeColor="accent1" w:themeShade="BF" w:val="2F5496"/>
    </w:rPr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Intense Reference"/>
    <w:basedOn w:val="Style_7"/>
    <w:link w:val="Style_18_ch"/>
    <w:rPr>
      <w:b w:val="1"/>
      <w:smallCaps w:val="1"/>
      <w:color w:themeColor="accent1" w:themeShade="BF" w:val="2F5496"/>
      <w:spacing w:val="5"/>
    </w:rPr>
  </w:style>
  <w:style w:styleId="Style_18_ch" w:type="character">
    <w:name w:val="Intense Reference"/>
    <w:basedOn w:val="Style_7_ch"/>
    <w:link w:val="Style_18"/>
    <w:rPr>
      <w:b w:val="1"/>
      <w:smallCaps w:val="1"/>
      <w:color w:themeColor="accent1" w:themeShade="BF" w:val="2F5496"/>
      <w:spacing w:val="5"/>
    </w:rPr>
  </w:style>
  <w:style w:styleId="Style_19" w:type="paragraph">
    <w:name w:val="heading 5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40" w:before="80" w:line="259" w:lineRule="auto"/>
      <w:ind/>
      <w:contextualSpacing w:val="0"/>
      <w:outlineLvl w:val="4"/>
    </w:pPr>
    <w:rPr>
      <w:rFonts w:asciiTheme="minorAscii" w:hAnsiTheme="minorHAnsi"/>
      <w:color w:themeColor="accent1" w:themeShade="BF" w:val="2F5496"/>
      <w:sz w:val="22"/>
    </w:rPr>
  </w:style>
  <w:style w:styleId="Style_19_ch" w:type="character">
    <w:name w:val="heading 5"/>
    <w:basedOn w:val="Style_3_ch"/>
    <w:link w:val="Style_19"/>
    <w:rPr>
      <w:rFonts w:asciiTheme="minorAscii" w:hAnsiTheme="minorHAnsi"/>
      <w:color w:themeColor="accent1" w:themeShade="BF" w:val="2F5496"/>
      <w:sz w:val="22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keepLines w:val="1"/>
      <w:widowControl w:val="1"/>
      <w:spacing w:after="80" w:before="360" w:line="259" w:lineRule="auto"/>
      <w:ind/>
      <w:contextualSpacing w:val="0"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3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3"/>
    <w:next w:val="Style_3"/>
    <w:link w:val="Style_23_ch"/>
    <w:uiPriority w:val="9"/>
    <w:qFormat/>
    <w:pPr>
      <w:keepNext w:val="1"/>
      <w:keepLines w:val="1"/>
      <w:widowControl w:val="1"/>
      <w:spacing w:line="259" w:lineRule="auto"/>
      <w:ind/>
      <w:contextualSpacing w:val="0"/>
      <w:outlineLvl w:val="7"/>
    </w:pPr>
    <w:rPr>
      <w:rFonts w:asciiTheme="minorAscii" w:hAnsiTheme="minorHAnsi"/>
      <w:i w:val="1"/>
      <w:color w:themeColor="text1" w:themeTint="D8" w:val="272727"/>
      <w:sz w:val="22"/>
    </w:rPr>
  </w:style>
  <w:style w:styleId="Style_23_ch" w:type="character">
    <w:name w:val="heading 8"/>
    <w:basedOn w:val="Style_3_ch"/>
    <w:link w:val="Style_23"/>
    <w:rPr>
      <w:rFonts w:asciiTheme="minorAscii" w:hAnsiTheme="minorHAnsi"/>
      <w:i w:val="1"/>
      <w:color w:themeColor="text1" w:themeTint="D8" w:val="272727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3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9" w:type="paragraph">
    <w:name w:val="Subtitle"/>
    <w:basedOn w:val="Style_3"/>
    <w:next w:val="Style_3"/>
    <w:link w:val="Style_29_ch"/>
    <w:uiPriority w:val="11"/>
    <w:qFormat/>
    <w:pPr>
      <w:widowControl w:val="1"/>
      <w:numPr>
        <w:ilvl w:val="1"/>
      </w:numPr>
      <w:spacing w:after="160" w:line="259" w:lineRule="auto"/>
      <w:ind/>
      <w:contextualSpacing w:val="0"/>
    </w:pPr>
    <w:rPr>
      <w:rFonts w:asciiTheme="minorAscii" w:hAnsiTheme="minorHAnsi"/>
      <w:color w:themeColor="text1" w:themeTint="A6" w:val="595959"/>
      <w:spacing w:val="15"/>
      <w:sz w:val="28"/>
    </w:rPr>
  </w:style>
  <w:style w:styleId="Style_29_ch" w:type="character">
    <w:name w:val="Subtitle"/>
    <w:basedOn w:val="Style_3_ch"/>
    <w:link w:val="Style_29"/>
    <w:rPr>
      <w:rFonts w:asciiTheme="minorAscii" w:hAnsiTheme="minorHAnsi"/>
      <w:color w:themeColor="text1" w:themeTint="A6" w:val="595959"/>
      <w:spacing w:val="15"/>
      <w:sz w:val="28"/>
    </w:rPr>
  </w:style>
  <w:style w:styleId="Style_30" w:type="paragraph">
    <w:name w:val="Title"/>
    <w:basedOn w:val="Style_3"/>
    <w:next w:val="Style_3"/>
    <w:link w:val="Style_30_ch"/>
    <w:uiPriority w:val="10"/>
    <w:qFormat/>
    <w:pPr>
      <w:widowControl w:val="1"/>
      <w:spacing w:after="80"/>
      <w:ind/>
    </w:pPr>
    <w:rPr>
      <w:rFonts w:asciiTheme="majorAscii" w:hAnsiTheme="majorHAnsi"/>
      <w:spacing w:val="-10"/>
      <w:sz w:val="56"/>
    </w:rPr>
  </w:style>
  <w:style w:styleId="Style_30_ch" w:type="character">
    <w:name w:val="Title"/>
    <w:basedOn w:val="Style_3_ch"/>
    <w:link w:val="Style_30"/>
    <w:rPr>
      <w:rFonts w:asciiTheme="majorAscii" w:hAnsiTheme="majorHAnsi"/>
      <w:spacing w:val="-10"/>
      <w:sz w:val="56"/>
    </w:rPr>
  </w:style>
  <w:style w:styleId="Style_31" w:type="paragraph">
    <w:name w:val="heading 4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40" w:before="80" w:line="259" w:lineRule="auto"/>
      <w:ind/>
      <w:contextualSpacing w:val="0"/>
      <w:outlineLvl w:val="3"/>
    </w:pPr>
    <w:rPr>
      <w:rFonts w:asciiTheme="minorAscii" w:hAnsiTheme="minorHAnsi"/>
      <w:i w:val="1"/>
      <w:color w:themeColor="accent1" w:themeShade="BF" w:val="2F5496"/>
      <w:sz w:val="22"/>
    </w:rPr>
  </w:style>
  <w:style w:styleId="Style_31_ch" w:type="character">
    <w:name w:val="heading 4"/>
    <w:basedOn w:val="Style_3_ch"/>
    <w:link w:val="Style_31"/>
    <w:rPr>
      <w:rFonts w:asciiTheme="minorAscii" w:hAnsiTheme="minorHAnsi"/>
      <w:i w:val="1"/>
      <w:color w:themeColor="accent1" w:themeShade="BF" w:val="2F5496"/>
      <w:sz w:val="22"/>
    </w:rPr>
  </w:style>
  <w:style w:styleId="Style_32" w:type="paragraph">
    <w:name w:val="heading 2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80" w:before="160" w:line="259" w:lineRule="auto"/>
      <w:ind/>
      <w:contextualSpacing w:val="0"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2_ch" w:type="character">
    <w:name w:val="heading 2"/>
    <w:basedOn w:val="Style_3_ch"/>
    <w:link w:val="Style_32"/>
    <w:rPr>
      <w:rFonts w:asciiTheme="majorAscii" w:hAnsiTheme="majorHAnsi"/>
      <w:color w:themeColor="accent1" w:themeShade="BF" w:val="2F5496"/>
      <w:sz w:val="32"/>
    </w:rPr>
  </w:style>
  <w:style w:styleId="Style_33" w:type="paragraph">
    <w:name w:val="heading 6"/>
    <w:basedOn w:val="Style_3"/>
    <w:next w:val="Style_3"/>
    <w:link w:val="Style_33_ch"/>
    <w:uiPriority w:val="9"/>
    <w:qFormat/>
    <w:pPr>
      <w:keepNext w:val="1"/>
      <w:keepLines w:val="1"/>
      <w:widowControl w:val="1"/>
      <w:spacing w:before="40" w:line="259" w:lineRule="auto"/>
      <w:ind/>
      <w:contextualSpacing w:val="0"/>
      <w:outlineLvl w:val="5"/>
    </w:pPr>
    <w:rPr>
      <w:rFonts w:asciiTheme="minorAscii" w:hAnsiTheme="minorHAnsi"/>
      <w:i w:val="1"/>
      <w:color w:themeColor="text1" w:themeTint="A6" w:val="595959"/>
      <w:sz w:val="22"/>
    </w:rPr>
  </w:style>
  <w:style w:styleId="Style_33_ch" w:type="character">
    <w:name w:val="heading 6"/>
    <w:basedOn w:val="Style_3_ch"/>
    <w:link w:val="Style_33"/>
    <w:rPr>
      <w:rFonts w:asciiTheme="minorAscii" w:hAnsiTheme="minorHAnsi"/>
      <w:i w:val="1"/>
      <w:color w:themeColor="text1" w:themeTint="A6" w:val="595959"/>
      <w:sz w:val="22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2026-07-24T05:55:00Z</dcterms:created>
  <dcterms:modified xsi:type="dcterms:W3CDTF">2026-07-24T06:35:00Z</dcterms:modified>
</cp:coreProperties>
</file>