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FA4D6C" w:rsidRDefault="00FA4D6C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420F7D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0F7D" w:rsidRPr="00420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случаев осуществления банковского сопровождения контрактов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3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  <w:proofErr w:type="gramEnd"/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F7D" w:rsidRPr="00420F7D">
        <w:rPr>
          <w:rFonts w:ascii="Times New Roman" w:eastAsia="Calibri" w:hAnsi="Times New Roman" w:cs="Times New Roman"/>
          <w:sz w:val="28"/>
          <w:szCs w:val="28"/>
        </w:rPr>
        <w:t>часть 2 статьи 35 Федерального закона от                                 5 апреля 2013 г. № 44-ФЗ «О контрактной системе в сфере закупок товаров, работ, услуг для обеспечения государственных и муниципальных нужд», постановление Правительства Российской Федерации от 20 сентября 2014 г.                         № 963 «Об осуществлении банковского сопровождения контрактов»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420F7D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C7A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A218A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C7A2E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5C8B-E8D5-4655-AB25-745750FC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18</cp:revision>
  <cp:lastPrinted>2022-01-26T13:47:00Z</cp:lastPrinted>
  <dcterms:created xsi:type="dcterms:W3CDTF">2022-12-06T10:23:00Z</dcterms:created>
  <dcterms:modified xsi:type="dcterms:W3CDTF">2022-12-07T10:21:00Z</dcterms:modified>
</cp:coreProperties>
</file>