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1B" w:rsidRDefault="00C8451B" w:rsidP="00C84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C8451B" w:rsidRDefault="00C8451B" w:rsidP="00C84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 РАЙОНА</w:t>
      </w:r>
    </w:p>
    <w:p w:rsidR="00C8451B" w:rsidRDefault="00C8451B" w:rsidP="00C8451B">
      <w:pPr>
        <w:jc w:val="center"/>
        <w:rPr>
          <w:b/>
          <w:sz w:val="28"/>
          <w:szCs w:val="28"/>
        </w:rPr>
      </w:pPr>
    </w:p>
    <w:p w:rsidR="00C8451B" w:rsidRDefault="00C8451B" w:rsidP="00C84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8451B" w:rsidRDefault="00C8451B" w:rsidP="00C8451B">
      <w:pPr>
        <w:jc w:val="center"/>
        <w:rPr>
          <w:b/>
          <w:sz w:val="28"/>
          <w:szCs w:val="28"/>
        </w:rPr>
      </w:pPr>
    </w:p>
    <w:p w:rsidR="00C8451B" w:rsidRDefault="00C8451B" w:rsidP="00C8451B">
      <w:pPr>
        <w:jc w:val="center"/>
        <w:rPr>
          <w:b/>
          <w:sz w:val="28"/>
          <w:szCs w:val="28"/>
        </w:rPr>
      </w:pPr>
    </w:p>
    <w:p w:rsidR="00C8451B" w:rsidRDefault="00C8451B" w:rsidP="00C8451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b/>
          <w:sz w:val="28"/>
          <w:szCs w:val="28"/>
          <w:lang w:val="en-US"/>
        </w:rPr>
        <w:t>111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C1546" w:rsidRPr="004C1546" w:rsidRDefault="00E260F5" w:rsidP="004C1546">
      <w:pPr>
        <w:pStyle w:val="Default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О</w:t>
      </w:r>
      <w:r w:rsidR="00FD01A1" w:rsidRPr="004C1546">
        <w:rPr>
          <w:b/>
          <w:sz w:val="28"/>
          <w:szCs w:val="28"/>
        </w:rPr>
        <w:t xml:space="preserve">б </w:t>
      </w:r>
      <w:r w:rsidR="00FB1D6F">
        <w:rPr>
          <w:b/>
          <w:sz w:val="28"/>
          <w:szCs w:val="28"/>
        </w:rPr>
        <w:t>утверждении основных направлений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долговой политик</w:t>
      </w:r>
      <w:r w:rsidR="00FD01A1" w:rsidRPr="004C1546">
        <w:rPr>
          <w:b/>
          <w:sz w:val="28"/>
          <w:szCs w:val="28"/>
        </w:rPr>
        <w:t>и</w:t>
      </w:r>
      <w:r w:rsidRPr="004C1546">
        <w:rPr>
          <w:b/>
          <w:sz w:val="28"/>
          <w:szCs w:val="28"/>
        </w:rPr>
        <w:t xml:space="preserve"> </w:t>
      </w:r>
    </w:p>
    <w:p w:rsidR="004C1546" w:rsidRPr="004C1546" w:rsidRDefault="0045168C" w:rsidP="004C1546">
      <w:pPr>
        <w:pStyle w:val="Default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Дербентского</w:t>
      </w:r>
      <w:r w:rsidR="00E260F5" w:rsidRPr="004C1546">
        <w:rPr>
          <w:b/>
          <w:sz w:val="28"/>
          <w:szCs w:val="28"/>
        </w:rPr>
        <w:t xml:space="preserve"> сельского поселения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Тимашевского</w:t>
      </w:r>
      <w:r w:rsidR="00E260F5" w:rsidRPr="004C1546">
        <w:rPr>
          <w:b/>
          <w:sz w:val="28"/>
          <w:szCs w:val="28"/>
        </w:rPr>
        <w:t xml:space="preserve"> района </w:t>
      </w:r>
    </w:p>
    <w:p w:rsidR="0045676A" w:rsidRPr="004C1546" w:rsidRDefault="00E260F5" w:rsidP="004C1546">
      <w:pPr>
        <w:pStyle w:val="Default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на 20</w:t>
      </w:r>
      <w:r w:rsidR="004A2831" w:rsidRPr="004C1546">
        <w:rPr>
          <w:b/>
          <w:sz w:val="28"/>
          <w:szCs w:val="28"/>
        </w:rPr>
        <w:t>2</w:t>
      </w:r>
      <w:r w:rsidR="005A5E0F">
        <w:rPr>
          <w:b/>
          <w:sz w:val="28"/>
          <w:szCs w:val="28"/>
        </w:rPr>
        <w:t>3</w:t>
      </w:r>
      <w:r w:rsidRPr="004C1546">
        <w:rPr>
          <w:b/>
          <w:sz w:val="28"/>
          <w:szCs w:val="28"/>
        </w:rPr>
        <w:t xml:space="preserve"> год и на плановый период 20</w:t>
      </w:r>
      <w:r w:rsidR="00FD01A1" w:rsidRPr="004C1546">
        <w:rPr>
          <w:b/>
          <w:sz w:val="28"/>
          <w:szCs w:val="28"/>
        </w:rPr>
        <w:t>2</w:t>
      </w:r>
      <w:r w:rsidR="005A5E0F">
        <w:rPr>
          <w:b/>
          <w:sz w:val="28"/>
          <w:szCs w:val="28"/>
        </w:rPr>
        <w:t>4</w:t>
      </w:r>
      <w:r w:rsidRPr="004C1546">
        <w:rPr>
          <w:b/>
          <w:sz w:val="28"/>
          <w:szCs w:val="28"/>
        </w:rPr>
        <w:t xml:space="preserve"> и 20</w:t>
      </w:r>
      <w:r w:rsidR="00FD01A1" w:rsidRPr="004C1546">
        <w:rPr>
          <w:b/>
          <w:sz w:val="28"/>
          <w:szCs w:val="28"/>
        </w:rPr>
        <w:t>2</w:t>
      </w:r>
      <w:r w:rsidR="005A5E0F">
        <w:rPr>
          <w:b/>
          <w:sz w:val="28"/>
          <w:szCs w:val="28"/>
        </w:rPr>
        <w:t>5</w:t>
      </w:r>
      <w:r w:rsidRPr="004C1546">
        <w:rPr>
          <w:b/>
          <w:sz w:val="28"/>
          <w:szCs w:val="28"/>
        </w:rPr>
        <w:t xml:space="preserve"> годов</w:t>
      </w:r>
    </w:p>
    <w:p w:rsidR="00442FAA" w:rsidRDefault="00442FAA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E2FA1" w:rsidRPr="004B7EA4" w:rsidRDefault="00EE2FA1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FE2686">
      <w:pPr>
        <w:pStyle w:val="ae"/>
        <w:ind w:left="0" w:right="112" w:firstLine="707"/>
        <w:jc w:val="both"/>
        <w:rPr>
          <w:b/>
          <w:lang w:val="ru-RU"/>
        </w:rPr>
      </w:pPr>
      <w:r w:rsidRPr="00FD01A1">
        <w:rPr>
          <w:lang w:val="ru-RU"/>
        </w:rPr>
        <w:t xml:space="preserve">В соответствии с </w:t>
      </w:r>
      <w:r w:rsidR="005A5E0F">
        <w:rPr>
          <w:lang w:val="ru-RU"/>
        </w:rPr>
        <w:t xml:space="preserve">пунктом 13 статьи 107.1 Бюджетного кодекса </w:t>
      </w:r>
      <w:r w:rsidR="004C1546">
        <w:rPr>
          <w:lang w:val="ru-RU"/>
        </w:rPr>
        <w:t xml:space="preserve">Российской Федерации, в целях эффективного </w:t>
      </w:r>
      <w:r w:rsidR="005A5E0F">
        <w:rPr>
          <w:lang w:val="ru-RU"/>
        </w:rPr>
        <w:t xml:space="preserve">управления муниципальным </w:t>
      </w:r>
      <w:r w:rsidR="004C1546" w:rsidRPr="00A442E4">
        <w:rPr>
          <w:lang w:val="ru-RU"/>
        </w:rPr>
        <w:t xml:space="preserve">долгом Дербентского сельского поселения Тимашевского района, </w:t>
      </w:r>
      <w:r w:rsidR="00FB1D6F">
        <w:rPr>
          <w:lang w:val="ru-RU"/>
        </w:rPr>
        <w:t xml:space="preserve">принятия мер по снижению долговой нагрузки </w:t>
      </w:r>
      <w:r w:rsidR="00E260F5" w:rsidRPr="00E260F5">
        <w:rPr>
          <w:bCs/>
          <w:lang w:val="ru-RU"/>
        </w:rPr>
        <w:t>п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с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т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а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н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в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л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я</w:t>
      </w:r>
      <w:r w:rsidR="004C1546">
        <w:rPr>
          <w:bCs/>
          <w:lang w:val="ru-RU"/>
        </w:rPr>
        <w:t xml:space="preserve"> ю</w:t>
      </w:r>
      <w:r w:rsidR="00E260F5" w:rsidRPr="00E260F5">
        <w:rPr>
          <w:bCs/>
          <w:lang w:val="ru-RU"/>
        </w:rPr>
        <w:t>:</w:t>
      </w:r>
    </w:p>
    <w:p w:rsidR="00E260F5" w:rsidRDefault="004C1546" w:rsidP="00214450">
      <w:pPr>
        <w:pStyle w:val="1"/>
        <w:tabs>
          <w:tab w:val="left" w:pos="1122"/>
        </w:tabs>
        <w:ind w:left="0" w:right="11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E2FA1">
        <w:rPr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="00E260F5"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>
        <w:rPr>
          <w:sz w:val="28"/>
          <w:lang w:val="ru-RU"/>
        </w:rPr>
        <w:t xml:space="preserve"> муниципальной</w:t>
      </w:r>
      <w:r w:rsidR="00E260F5"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="00E260F5" w:rsidRPr="002945E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Дербентского</w:t>
      </w:r>
      <w:r w:rsidR="00E260F5">
        <w:rPr>
          <w:sz w:val="28"/>
          <w:szCs w:val="28"/>
          <w:lang w:val="ru-RU"/>
        </w:rPr>
        <w:t xml:space="preserve"> сельского поселения</w:t>
      </w:r>
      <w:r w:rsidR="00E260F5" w:rsidRPr="002945EE">
        <w:rPr>
          <w:sz w:val="28"/>
          <w:lang w:val="ru-RU"/>
        </w:rPr>
        <w:t xml:space="preserve"> на 20</w:t>
      </w:r>
      <w:r w:rsidR="004A2831">
        <w:rPr>
          <w:sz w:val="28"/>
          <w:lang w:val="ru-RU"/>
        </w:rPr>
        <w:t>2</w:t>
      </w:r>
      <w:r w:rsidR="00850607">
        <w:rPr>
          <w:sz w:val="28"/>
          <w:lang w:val="ru-RU"/>
        </w:rPr>
        <w:t>3</w:t>
      </w:r>
      <w:r w:rsidR="00E260F5"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</w:t>
      </w:r>
      <w:r w:rsidR="00850607">
        <w:rPr>
          <w:sz w:val="28"/>
          <w:lang w:val="ru-RU"/>
        </w:rPr>
        <w:t>4</w:t>
      </w:r>
      <w:r w:rsidR="00E260F5"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850607">
        <w:rPr>
          <w:sz w:val="28"/>
          <w:lang w:val="ru-RU"/>
        </w:rPr>
        <w:t>5</w:t>
      </w:r>
      <w:r w:rsidR="00E260F5" w:rsidRPr="002945EE">
        <w:rPr>
          <w:sz w:val="28"/>
          <w:lang w:val="ru-RU"/>
        </w:rPr>
        <w:t xml:space="preserve"> годов </w:t>
      </w:r>
      <w:r w:rsidR="00EE2FA1">
        <w:rPr>
          <w:sz w:val="28"/>
          <w:lang w:val="ru-RU"/>
        </w:rPr>
        <w:t>(прилагается)</w:t>
      </w:r>
      <w:r w:rsidR="00E260F5" w:rsidRPr="002945EE">
        <w:rPr>
          <w:sz w:val="28"/>
          <w:lang w:val="ru-RU"/>
        </w:rPr>
        <w:t>.</w:t>
      </w:r>
    </w:p>
    <w:p w:rsidR="004C1546" w:rsidRPr="00426C6E" w:rsidRDefault="004C1546" w:rsidP="00214450">
      <w:pPr>
        <w:pStyle w:val="1"/>
        <w:tabs>
          <w:tab w:val="left" w:pos="1122"/>
        </w:tabs>
        <w:ind w:left="0" w:right="11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850607">
        <w:rPr>
          <w:sz w:val="28"/>
          <w:lang w:val="ru-RU"/>
        </w:rPr>
        <w:t>. Заместителю главы</w:t>
      </w:r>
      <w:r w:rsidR="00426C6E" w:rsidRPr="00426C6E">
        <w:rPr>
          <w:sz w:val="28"/>
          <w:szCs w:val="28"/>
          <w:lang w:val="ru-RU"/>
        </w:rPr>
        <w:t xml:space="preserve"> Дербентского сельского поселения Тимашевского района Марцун О.В</w:t>
      </w:r>
      <w:r w:rsidR="00426C6E">
        <w:rPr>
          <w:sz w:val="28"/>
          <w:szCs w:val="28"/>
          <w:lang w:val="ru-RU"/>
        </w:rPr>
        <w:t xml:space="preserve">. </w:t>
      </w:r>
      <w:r w:rsidR="00A442E4">
        <w:rPr>
          <w:sz w:val="28"/>
          <w:szCs w:val="28"/>
          <w:lang w:val="ru-RU"/>
        </w:rPr>
        <w:t>разместить</w:t>
      </w:r>
      <w:r w:rsidR="00426C6E">
        <w:rPr>
          <w:sz w:val="28"/>
          <w:szCs w:val="28"/>
          <w:lang w:val="ru-RU"/>
        </w:rPr>
        <w:t xml:space="preserve"> </w:t>
      </w:r>
      <w:r w:rsidR="00426C6E" w:rsidRPr="00426C6E">
        <w:rPr>
          <w:sz w:val="28"/>
          <w:szCs w:val="28"/>
          <w:lang w:val="ru-RU"/>
        </w:rPr>
        <w:t>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71738" w:rsidRDefault="004C1546" w:rsidP="002144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738">
        <w:rPr>
          <w:sz w:val="28"/>
          <w:szCs w:val="28"/>
        </w:rPr>
        <w:t>.</w:t>
      </w:r>
      <w:r w:rsidR="00EE2FA1" w:rsidRPr="00EE2FA1">
        <w:rPr>
          <w:sz w:val="28"/>
        </w:rPr>
        <w:t xml:space="preserve"> </w:t>
      </w:r>
      <w:r w:rsidR="00FB1D6F">
        <w:rPr>
          <w:sz w:val="28"/>
        </w:rPr>
        <w:t xml:space="preserve">Контроль </w:t>
      </w:r>
      <w:r w:rsidR="00EE2FA1" w:rsidRPr="00E260F5">
        <w:rPr>
          <w:sz w:val="28"/>
        </w:rPr>
        <w:t>за вы</w:t>
      </w:r>
      <w:r w:rsidR="00EE2FA1">
        <w:rPr>
          <w:sz w:val="28"/>
        </w:rPr>
        <w:t>полнением данного постановления</w:t>
      </w:r>
      <w:r w:rsidR="00EE2FA1" w:rsidRPr="00E260F5">
        <w:rPr>
          <w:sz w:val="28"/>
        </w:rPr>
        <w:t xml:space="preserve"> возло</w:t>
      </w:r>
      <w:r w:rsidR="00EE2FA1">
        <w:rPr>
          <w:sz w:val="28"/>
        </w:rPr>
        <w:t xml:space="preserve">жить на </w:t>
      </w:r>
      <w:r w:rsidR="00850607">
        <w:rPr>
          <w:sz w:val="28"/>
        </w:rPr>
        <w:t xml:space="preserve">ведущего специалиста </w:t>
      </w:r>
      <w:r w:rsidR="00EE2FA1" w:rsidRPr="00426C6E">
        <w:rPr>
          <w:sz w:val="28"/>
          <w:szCs w:val="28"/>
        </w:rPr>
        <w:t>администрации Дербентского сельского поселения Тимашевского района</w:t>
      </w:r>
      <w:r w:rsidR="00EE2FA1">
        <w:rPr>
          <w:sz w:val="28"/>
        </w:rPr>
        <w:t xml:space="preserve"> Нечаеву О.Б</w:t>
      </w:r>
      <w:r w:rsidR="00FB1D6F">
        <w:rPr>
          <w:sz w:val="28"/>
        </w:rPr>
        <w:t>.</w:t>
      </w:r>
    </w:p>
    <w:p w:rsidR="00237DA4" w:rsidRDefault="00882411" w:rsidP="00EE2FA1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F1118" w:rsidRPr="00E260F5">
        <w:rPr>
          <w:sz w:val="28"/>
        </w:rPr>
        <w:t>.</w:t>
      </w:r>
      <w:r w:rsidR="00E260F5" w:rsidRPr="00E260F5">
        <w:rPr>
          <w:sz w:val="28"/>
        </w:rPr>
        <w:t xml:space="preserve"> </w:t>
      </w:r>
      <w:r w:rsidR="00EE2FA1">
        <w:rPr>
          <w:sz w:val="28"/>
          <w:szCs w:val="28"/>
        </w:rPr>
        <w:t xml:space="preserve">Настоящее постановление вступает в силу со дня его </w:t>
      </w:r>
      <w:r w:rsidR="00A442E4">
        <w:rPr>
          <w:sz w:val="28"/>
          <w:szCs w:val="28"/>
        </w:rPr>
        <w:t>подписания</w:t>
      </w:r>
      <w:r w:rsidR="00EE2FA1">
        <w:rPr>
          <w:sz w:val="28"/>
          <w:szCs w:val="28"/>
        </w:rPr>
        <w:t>.</w:t>
      </w:r>
    </w:p>
    <w:p w:rsidR="00DC72DC" w:rsidRDefault="00DC72DC" w:rsidP="00237DA4">
      <w:pPr>
        <w:rPr>
          <w:sz w:val="28"/>
          <w:szCs w:val="28"/>
        </w:rPr>
      </w:pPr>
    </w:p>
    <w:p w:rsidR="00FB1D6F" w:rsidRDefault="00FB1D6F" w:rsidP="00237DA4">
      <w:pPr>
        <w:rPr>
          <w:sz w:val="28"/>
          <w:szCs w:val="28"/>
        </w:rPr>
      </w:pP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 w:rsidR="00882411">
        <w:rPr>
          <w:sz w:val="28"/>
          <w:szCs w:val="28"/>
        </w:rPr>
        <w:t xml:space="preserve">Дербентского </w:t>
      </w:r>
      <w:r w:rsidR="00426C6E">
        <w:rPr>
          <w:sz w:val="28"/>
          <w:szCs w:val="28"/>
        </w:rPr>
        <w:t xml:space="preserve">сельского поселения </w:t>
      </w:r>
    </w:p>
    <w:p w:rsidR="00E260F5" w:rsidRDefault="00882411" w:rsidP="00237DA4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 w:rsidR="00426C6E">
        <w:rPr>
          <w:sz w:val="28"/>
          <w:szCs w:val="28"/>
        </w:rPr>
        <w:t xml:space="preserve">                                                                       </w:t>
      </w:r>
      <w:r w:rsidR="00426C6E" w:rsidRPr="00390F01">
        <w:rPr>
          <w:sz w:val="28"/>
          <w:szCs w:val="28"/>
        </w:rPr>
        <w:t>С.</w:t>
      </w:r>
      <w:r w:rsidR="00426C6E">
        <w:rPr>
          <w:sz w:val="28"/>
          <w:szCs w:val="28"/>
        </w:rPr>
        <w:t>С.</w:t>
      </w:r>
      <w:r w:rsidR="00426C6E" w:rsidRPr="00390F01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Колесников</w:t>
      </w: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EE2FA1" w:rsidRDefault="00EE2F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FA1" w:rsidRDefault="00EE2FA1" w:rsidP="00EE2FA1">
      <w:pPr>
        <w:jc w:val="both"/>
        <w:rPr>
          <w:rFonts w:eastAsia="Calibri"/>
          <w:sz w:val="28"/>
          <w:szCs w:val="28"/>
        </w:rPr>
        <w:sectPr w:rsidR="00EE2FA1" w:rsidSect="00EE2FA1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426C6E" w:rsidRDefault="00EE2FA1" w:rsidP="00EE2FA1">
      <w:pPr>
        <w:pageBreakBefore/>
        <w:ind w:left="5387"/>
        <w:rPr>
          <w:sz w:val="28"/>
        </w:rPr>
      </w:pPr>
      <w:r>
        <w:rPr>
          <w:sz w:val="28"/>
        </w:rPr>
        <w:lastRenderedPageBreak/>
        <w:t>Приложение</w:t>
      </w:r>
    </w:p>
    <w:p w:rsidR="00426C6E" w:rsidRDefault="00426C6E" w:rsidP="00EE2FA1">
      <w:pPr>
        <w:ind w:left="5387"/>
        <w:rPr>
          <w:sz w:val="28"/>
        </w:rPr>
      </w:pP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УТВЕРЖДЕНЫ</w:t>
      </w:r>
    </w:p>
    <w:p w:rsidR="000B3778" w:rsidRDefault="00426C6E" w:rsidP="00EE2FA1">
      <w:pPr>
        <w:ind w:left="5387"/>
        <w:rPr>
          <w:sz w:val="28"/>
        </w:rPr>
      </w:pPr>
      <w:r>
        <w:rPr>
          <w:sz w:val="28"/>
        </w:rPr>
        <w:t xml:space="preserve">постановлением администрации Дербентского сельского поселения Тимашевского района </w:t>
      </w:r>
    </w:p>
    <w:p w:rsidR="00426C6E" w:rsidRPr="00C8451B" w:rsidRDefault="00426C6E" w:rsidP="00EE2FA1">
      <w:pPr>
        <w:ind w:left="5387"/>
        <w:rPr>
          <w:sz w:val="28"/>
          <w:lang w:val="en-US"/>
        </w:rPr>
      </w:pPr>
      <w:r>
        <w:rPr>
          <w:sz w:val="28"/>
        </w:rPr>
        <w:t>от</w:t>
      </w:r>
      <w:r w:rsidR="00EE2FA1">
        <w:rPr>
          <w:sz w:val="28"/>
        </w:rPr>
        <w:t xml:space="preserve"> </w:t>
      </w:r>
      <w:r>
        <w:rPr>
          <w:sz w:val="28"/>
        </w:rPr>
        <w:t xml:space="preserve">  </w:t>
      </w:r>
      <w:r w:rsidR="00C8451B" w:rsidRPr="00C8451B">
        <w:rPr>
          <w:sz w:val="28"/>
        </w:rPr>
        <w:t>28.11.</w:t>
      </w:r>
      <w:r w:rsidR="00C8451B">
        <w:rPr>
          <w:sz w:val="28"/>
          <w:lang w:val="en-US"/>
        </w:rPr>
        <w:t>2022</w:t>
      </w:r>
      <w:r>
        <w:rPr>
          <w:sz w:val="28"/>
        </w:rPr>
        <w:t xml:space="preserve"> № </w:t>
      </w:r>
      <w:r w:rsidR="00C8451B">
        <w:rPr>
          <w:sz w:val="28"/>
          <w:lang w:val="en-US"/>
        </w:rPr>
        <w:t>111</w:t>
      </w:r>
      <w:bookmarkStart w:id="0" w:name="_GoBack"/>
      <w:bookmarkEnd w:id="0"/>
    </w:p>
    <w:p w:rsidR="00426C6E" w:rsidRDefault="00426C6E" w:rsidP="00426C6E">
      <w:pPr>
        <w:ind w:left="5529"/>
        <w:rPr>
          <w:sz w:val="28"/>
        </w:rPr>
      </w:pPr>
    </w:p>
    <w:p w:rsidR="00BA521D" w:rsidRDefault="00BA521D" w:rsidP="00426C6E">
      <w:pPr>
        <w:ind w:left="5529"/>
        <w:rPr>
          <w:sz w:val="28"/>
        </w:rPr>
      </w:pPr>
    </w:p>
    <w:p w:rsidR="00171738" w:rsidRPr="00426C6E" w:rsidRDefault="00171738" w:rsidP="00171738">
      <w:pPr>
        <w:widowControl w:val="0"/>
        <w:jc w:val="center"/>
        <w:rPr>
          <w:b/>
          <w:sz w:val="28"/>
          <w:szCs w:val="28"/>
        </w:rPr>
      </w:pPr>
      <w:r w:rsidRPr="00426C6E">
        <w:rPr>
          <w:b/>
          <w:sz w:val="28"/>
          <w:szCs w:val="28"/>
        </w:rPr>
        <w:t xml:space="preserve">ОСНОВНЫЕ НАПРАВЛЕНИЯ </w:t>
      </w:r>
    </w:p>
    <w:p w:rsidR="00E260F5" w:rsidRPr="00426C6E" w:rsidRDefault="00171738" w:rsidP="00171738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 xml:space="preserve">долговой политики </w:t>
      </w:r>
      <w:r w:rsidR="00882411" w:rsidRPr="00426C6E">
        <w:rPr>
          <w:b/>
          <w:lang w:val="ru-RU"/>
        </w:rPr>
        <w:t>Дербентского</w:t>
      </w:r>
      <w:r w:rsidR="00E260F5" w:rsidRPr="00426C6E">
        <w:rPr>
          <w:b/>
          <w:lang w:val="ru-RU"/>
        </w:rPr>
        <w:t xml:space="preserve"> сельского поселения</w:t>
      </w:r>
    </w:p>
    <w:p w:rsidR="00E260F5" w:rsidRPr="00426C6E" w:rsidRDefault="00E260F5" w:rsidP="00E260F5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>на 20</w:t>
      </w:r>
      <w:r w:rsidR="004A2831" w:rsidRPr="00426C6E">
        <w:rPr>
          <w:b/>
          <w:lang w:val="ru-RU"/>
        </w:rPr>
        <w:t>2</w:t>
      </w:r>
      <w:r w:rsidR="00850607">
        <w:rPr>
          <w:b/>
          <w:lang w:val="ru-RU"/>
        </w:rPr>
        <w:t>3</w:t>
      </w:r>
      <w:r w:rsidRPr="00426C6E">
        <w:rPr>
          <w:b/>
          <w:lang w:val="ru-RU"/>
        </w:rPr>
        <w:t xml:space="preserve"> год и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на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плановый период 20</w:t>
      </w:r>
      <w:r w:rsidR="00171738" w:rsidRPr="00426C6E">
        <w:rPr>
          <w:b/>
          <w:lang w:val="ru-RU"/>
        </w:rPr>
        <w:t>2</w:t>
      </w:r>
      <w:r w:rsidR="00850607">
        <w:rPr>
          <w:b/>
          <w:lang w:val="ru-RU"/>
        </w:rPr>
        <w:t>4</w:t>
      </w:r>
      <w:r w:rsidRPr="00426C6E">
        <w:rPr>
          <w:b/>
          <w:lang w:val="ru-RU"/>
        </w:rPr>
        <w:t xml:space="preserve"> и 20</w:t>
      </w:r>
      <w:r w:rsidR="00833296" w:rsidRPr="00426C6E">
        <w:rPr>
          <w:b/>
          <w:lang w:val="ru-RU"/>
        </w:rPr>
        <w:t>2</w:t>
      </w:r>
      <w:r w:rsidR="00850607">
        <w:rPr>
          <w:b/>
          <w:lang w:val="ru-RU"/>
        </w:rPr>
        <w:t>5</w:t>
      </w:r>
      <w:r w:rsidRPr="00426C6E">
        <w:rPr>
          <w:b/>
          <w:lang w:val="ru-RU"/>
        </w:rPr>
        <w:t xml:space="preserve"> годов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E2FA1" w:rsidRPr="002945EE" w:rsidRDefault="00EE2FA1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</w:p>
    <w:p w:rsidR="00E260F5" w:rsidRDefault="00E260F5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606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="001D084C">
        <w:rPr>
          <w:lang w:val="ru-RU"/>
        </w:rPr>
        <w:t>а</w:t>
      </w:r>
      <w:r w:rsidRPr="002945EE">
        <w:rPr>
          <w:spacing w:val="-1"/>
          <w:lang w:val="ru-RU"/>
        </w:rPr>
        <w:t>дминистрации</w:t>
      </w:r>
      <w:r>
        <w:rPr>
          <w:spacing w:val="-1"/>
          <w:lang w:val="ru-RU"/>
        </w:rPr>
        <w:t xml:space="preserve"> </w:t>
      </w:r>
      <w:r w:rsidR="00426C6E">
        <w:rPr>
          <w:spacing w:val="-1"/>
          <w:lang w:val="ru-RU"/>
        </w:rPr>
        <w:t>Дербентск</w:t>
      </w:r>
      <w:r w:rsidR="00C76AE5">
        <w:rPr>
          <w:spacing w:val="-1"/>
          <w:lang w:val="ru-RU"/>
        </w:rPr>
        <w:t>ого сельского поселения</w:t>
      </w:r>
      <w:r w:rsidRPr="002945EE">
        <w:rPr>
          <w:lang w:val="ru-RU"/>
        </w:rPr>
        <w:t>,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направленная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на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обеспечение</w:t>
      </w:r>
      <w:r w:rsidR="00850607"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 w:rsidR="00426C6E">
        <w:rPr>
          <w:spacing w:val="-1"/>
          <w:lang w:val="ru-RU"/>
        </w:rPr>
        <w:t>Дербентского</w:t>
      </w:r>
      <w:r w:rsidR="00C76AE5">
        <w:rPr>
          <w:spacing w:val="-1"/>
          <w:lang w:val="ru-RU"/>
        </w:rPr>
        <w:t xml:space="preserve"> сельского поселения</w:t>
      </w:r>
      <w:r w:rsidR="001D084C">
        <w:rPr>
          <w:spacing w:val="-1"/>
          <w:lang w:val="ru-RU"/>
        </w:rPr>
        <w:t xml:space="preserve"> </w:t>
      </w:r>
      <w:r w:rsidRPr="002945EE">
        <w:rPr>
          <w:lang w:val="ru-RU"/>
        </w:rPr>
        <w:t>в</w:t>
      </w:r>
      <w:r w:rsidR="001D084C">
        <w:rPr>
          <w:lang w:val="ru-RU"/>
        </w:rPr>
        <w:t xml:space="preserve"> </w:t>
      </w:r>
      <w:r w:rsidR="00850607">
        <w:rPr>
          <w:lang w:val="ru-RU"/>
        </w:rPr>
        <w:t xml:space="preserve">заемном финансировании, </w:t>
      </w:r>
      <w:r w:rsidRPr="002945EE">
        <w:rPr>
          <w:lang w:val="ru-RU"/>
        </w:rPr>
        <w:t>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="00426C6E">
        <w:rPr>
          <w:lang w:val="ru-RU"/>
        </w:rPr>
        <w:t>полном исполнении</w:t>
      </w:r>
      <w:r w:rsidR="001D084C">
        <w:rPr>
          <w:lang w:val="ru-RU"/>
        </w:rPr>
        <w:t xml:space="preserve">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долгу,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5D4A01" w:rsidRDefault="00593A68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606"/>
        <w:jc w:val="both"/>
        <w:rPr>
          <w:lang w:val="ru-RU"/>
        </w:rPr>
      </w:pPr>
      <w:r>
        <w:rPr>
          <w:lang w:val="ru-RU"/>
        </w:rPr>
        <w:t xml:space="preserve">В </w:t>
      </w:r>
      <w:r w:rsidR="007771E2">
        <w:rPr>
          <w:lang w:val="ru-RU"/>
        </w:rPr>
        <w:t>2022 году</w:t>
      </w:r>
      <w:r>
        <w:rPr>
          <w:lang w:val="ru-RU"/>
        </w:rPr>
        <w:t xml:space="preserve"> основным из видов долговых инструментов являлись заимствования в виде бюджетных кредитов</w:t>
      </w:r>
      <w:r w:rsidR="00994382">
        <w:rPr>
          <w:lang w:val="ru-RU"/>
        </w:rPr>
        <w:t>, п</w:t>
      </w:r>
      <w:r>
        <w:rPr>
          <w:lang w:val="ru-RU"/>
        </w:rPr>
        <w:t xml:space="preserve">ривлекаемые </w:t>
      </w:r>
      <w:r w:rsidR="005D4A01" w:rsidRPr="005D4A01">
        <w:rPr>
          <w:lang w:val="ru-RU"/>
        </w:rPr>
        <w:t>на частичное покрытие дефицита бюджета Дербентского сельского поселения Тимашевского района при наличии временного кассового разрыва</w:t>
      </w:r>
      <w:r w:rsidR="00994382">
        <w:rPr>
          <w:lang w:val="ru-RU"/>
        </w:rPr>
        <w:t>.</w:t>
      </w:r>
    </w:p>
    <w:p w:rsidR="007771E2" w:rsidRPr="002945EE" w:rsidRDefault="007771E2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606"/>
        <w:jc w:val="both"/>
        <w:rPr>
          <w:lang w:val="ru-RU"/>
        </w:rPr>
      </w:pPr>
      <w:r>
        <w:rPr>
          <w:lang w:val="ru-RU"/>
        </w:rPr>
        <w:t xml:space="preserve">Привлечение бюджетного кредита обеспечило возможность направления доходов </w:t>
      </w:r>
      <w:r w:rsidR="005D4A01">
        <w:rPr>
          <w:lang w:val="ru-RU"/>
        </w:rPr>
        <w:t>местного бюджета на финансирование расходов бюджета на повышение заработной платы отдельным категориям работников бюджетной сферы.</w:t>
      </w:r>
    </w:p>
    <w:p w:rsidR="00171738" w:rsidRDefault="00E260F5" w:rsidP="00EE2FA1">
      <w:pPr>
        <w:autoSpaceDE w:val="0"/>
        <w:autoSpaceDN w:val="0"/>
        <w:adjustRightInd w:val="0"/>
        <w:ind w:firstLine="606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Дербентск</w:t>
      </w:r>
      <w:r w:rsidR="00171738" w:rsidRPr="00171738">
        <w:rPr>
          <w:sz w:val="28"/>
          <w:szCs w:val="28"/>
        </w:rPr>
        <w:t>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1C2AE1">
        <w:rPr>
          <w:sz w:val="28"/>
          <w:szCs w:val="28"/>
        </w:rPr>
        <w:t>3</w:t>
      </w:r>
      <w:r w:rsidR="00171738" w:rsidRPr="00171738">
        <w:rPr>
          <w:sz w:val="28"/>
          <w:szCs w:val="28"/>
        </w:rPr>
        <w:t xml:space="preserve"> год и плановый период 202</w:t>
      </w:r>
      <w:r w:rsidR="001C2AE1">
        <w:rPr>
          <w:sz w:val="28"/>
          <w:szCs w:val="28"/>
        </w:rPr>
        <w:t>4</w:t>
      </w:r>
      <w:r w:rsidR="00171738" w:rsidRPr="00171738">
        <w:rPr>
          <w:sz w:val="28"/>
          <w:szCs w:val="28"/>
        </w:rPr>
        <w:t xml:space="preserve"> и 202</w:t>
      </w:r>
      <w:r w:rsidR="001C2AE1">
        <w:rPr>
          <w:sz w:val="28"/>
          <w:szCs w:val="28"/>
        </w:rPr>
        <w:t>5</w:t>
      </w:r>
      <w:r w:rsidR="00171738" w:rsidRPr="00171738">
        <w:rPr>
          <w:sz w:val="28"/>
          <w:szCs w:val="28"/>
        </w:rPr>
        <w:t xml:space="preserve">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426C6E">
        <w:rPr>
          <w:sz w:val="28"/>
          <w:szCs w:val="28"/>
        </w:rPr>
        <w:t>Дербент</w:t>
      </w:r>
      <w:r w:rsidR="00171738" w:rsidRPr="00171738">
        <w:rPr>
          <w:sz w:val="28"/>
          <w:szCs w:val="28"/>
        </w:rPr>
        <w:t>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</w:t>
      </w:r>
      <w:r w:rsidR="00426C6E">
        <w:rPr>
          <w:sz w:val="28"/>
          <w:szCs w:val="28"/>
        </w:rPr>
        <w:t>2</w:t>
      </w:r>
      <w:r w:rsidR="001C2AE1">
        <w:rPr>
          <w:sz w:val="28"/>
          <w:szCs w:val="28"/>
        </w:rPr>
        <w:t>3</w:t>
      </w:r>
      <w:r w:rsidR="00171738">
        <w:rPr>
          <w:sz w:val="28"/>
          <w:szCs w:val="28"/>
        </w:rPr>
        <w:t xml:space="preserve"> год и плановый период 202</w:t>
      </w:r>
      <w:r w:rsidR="001C2AE1">
        <w:rPr>
          <w:sz w:val="28"/>
          <w:szCs w:val="28"/>
        </w:rPr>
        <w:t>4</w:t>
      </w:r>
      <w:r w:rsidR="00171738">
        <w:rPr>
          <w:sz w:val="28"/>
          <w:szCs w:val="28"/>
        </w:rPr>
        <w:t>и 202</w:t>
      </w:r>
      <w:r w:rsidR="001C2AE1">
        <w:rPr>
          <w:sz w:val="28"/>
          <w:szCs w:val="28"/>
        </w:rPr>
        <w:t>5</w:t>
      </w:r>
      <w:r w:rsidR="00171738">
        <w:rPr>
          <w:sz w:val="28"/>
          <w:szCs w:val="28"/>
        </w:rPr>
        <w:t xml:space="preserve"> годов.</w:t>
      </w:r>
    </w:p>
    <w:p w:rsidR="005D4A01" w:rsidRDefault="005D4A01" w:rsidP="00EE2FA1">
      <w:pPr>
        <w:autoSpaceDE w:val="0"/>
        <w:autoSpaceDN w:val="0"/>
        <w:adjustRightInd w:val="0"/>
        <w:ind w:firstLine="606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муниципально</w:t>
      </w:r>
      <w:r w:rsidR="002F794C">
        <w:rPr>
          <w:sz w:val="28"/>
          <w:szCs w:val="28"/>
        </w:rPr>
        <w:t>го долга на 1 января 2023 г. включает долговые обязательства по бюджетным кредитам – 100% (850,0 тыс. рублей).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214450">
      <w:pPr>
        <w:pStyle w:val="ae"/>
        <w:ind w:left="0"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1C2AE1">
        <w:rPr>
          <w:lang w:val="ru-RU"/>
        </w:rPr>
        <w:t xml:space="preserve">, </w:t>
      </w:r>
      <w:r w:rsidRPr="002945EE">
        <w:rPr>
          <w:lang w:val="ru-RU"/>
        </w:rPr>
        <w:t>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214450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lastRenderedPageBreak/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обеспечение дефицита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в 20</w:t>
      </w:r>
      <w:r w:rsidR="004A2831">
        <w:rPr>
          <w:lang w:val="ru-RU"/>
        </w:rPr>
        <w:t>2</w:t>
      </w:r>
      <w:r w:rsidR="001C2AE1">
        <w:rPr>
          <w:lang w:val="ru-RU"/>
        </w:rPr>
        <w:t>3</w:t>
      </w:r>
      <w:r w:rsidR="00260836">
        <w:rPr>
          <w:lang w:val="ru-RU"/>
        </w:rPr>
        <w:t>, 20</w:t>
      </w:r>
      <w:r w:rsidR="004524B6">
        <w:rPr>
          <w:lang w:val="ru-RU"/>
        </w:rPr>
        <w:t>2</w:t>
      </w:r>
      <w:r w:rsidR="001C2AE1">
        <w:rPr>
          <w:lang w:val="ru-RU"/>
        </w:rPr>
        <w:t>4</w:t>
      </w:r>
      <w:r w:rsidR="00E260F5"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1C2AE1">
        <w:rPr>
          <w:lang w:val="ru-RU"/>
        </w:rPr>
        <w:t>5</w:t>
      </w:r>
      <w:r w:rsidR="00E260F5" w:rsidRPr="002945EE">
        <w:rPr>
          <w:lang w:val="ru-RU"/>
        </w:rPr>
        <w:t xml:space="preserve"> годах на уровне не более 10 процентов суммы доходов бюджета </w:t>
      </w:r>
      <w:r w:rsidR="00426C6E">
        <w:rPr>
          <w:lang w:val="ru-RU"/>
        </w:rPr>
        <w:t>Дербентского</w:t>
      </w:r>
      <w:r w:rsidR="00C76AE5">
        <w:rPr>
          <w:lang w:val="ru-RU"/>
        </w:rPr>
        <w:t xml:space="preserve"> сельского поселения</w:t>
      </w:r>
      <w:r w:rsidR="001C2AE1">
        <w:rPr>
          <w:lang w:val="ru-RU"/>
        </w:rPr>
        <w:t xml:space="preserve"> без учета </w:t>
      </w:r>
      <w:r w:rsidR="00E260F5" w:rsidRPr="002945EE">
        <w:rPr>
          <w:lang w:val="ru-RU"/>
        </w:rPr>
        <w:t xml:space="preserve">объема </w:t>
      </w:r>
      <w:r w:rsidR="001C2AE1">
        <w:rPr>
          <w:lang w:val="ru-RU"/>
        </w:rPr>
        <w:t xml:space="preserve">безвозмездных </w:t>
      </w:r>
      <w:r w:rsidR="004524B6">
        <w:rPr>
          <w:lang w:val="ru-RU"/>
        </w:rPr>
        <w:t xml:space="preserve">поступлений </w:t>
      </w:r>
      <w:r w:rsidR="00166DB3" w:rsidRPr="00166DB3">
        <w:rPr>
          <w:lang w:val="ru-RU"/>
        </w:rPr>
        <w:t>за 20</w:t>
      </w:r>
      <w:r w:rsidR="004A2831">
        <w:rPr>
          <w:lang w:val="ru-RU"/>
        </w:rPr>
        <w:t>2</w:t>
      </w:r>
      <w:r w:rsidR="001C2AE1">
        <w:rPr>
          <w:lang w:val="ru-RU"/>
        </w:rPr>
        <w:t>3</w:t>
      </w:r>
      <w:r w:rsidR="00166DB3" w:rsidRPr="00166DB3">
        <w:rPr>
          <w:lang w:val="ru-RU"/>
        </w:rPr>
        <w:t>, 202</w:t>
      </w:r>
      <w:r w:rsidR="001C2AE1">
        <w:rPr>
          <w:lang w:val="ru-RU"/>
        </w:rPr>
        <w:t>4</w:t>
      </w:r>
      <w:r w:rsidR="00166DB3" w:rsidRPr="00166DB3">
        <w:rPr>
          <w:lang w:val="ru-RU"/>
        </w:rPr>
        <w:t xml:space="preserve"> и 202</w:t>
      </w:r>
      <w:r w:rsidR="001C2AE1">
        <w:rPr>
          <w:lang w:val="ru-RU"/>
        </w:rPr>
        <w:t>5</w:t>
      </w:r>
      <w:r w:rsidR="00166DB3" w:rsidRPr="00166DB3">
        <w:rPr>
          <w:lang w:val="ru-RU"/>
        </w:rPr>
        <w:t xml:space="preserve"> годы соответственно </w:t>
      </w:r>
      <w:r w:rsidR="00E260F5" w:rsidRPr="002945EE">
        <w:rPr>
          <w:lang w:val="ru-RU"/>
        </w:rPr>
        <w:t>(значение показателя может быть превышено</w:t>
      </w:r>
      <w:r w:rsidR="004A2831">
        <w:rPr>
          <w:lang w:val="ru-RU"/>
        </w:rPr>
        <w:t>,</w:t>
      </w:r>
      <w:r w:rsidR="00E260F5" w:rsidRPr="002945EE">
        <w:rPr>
          <w:lang w:val="ru-RU"/>
        </w:rPr>
        <w:t xml:space="preserve"> на сумму изменения остатков средств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, а также на сумму фактических поступлений от продажи акций и иных форм участия в капитале, находящихся в собственности </w:t>
      </w:r>
      <w:r w:rsidR="001D084C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>);</w:t>
      </w:r>
    </w:p>
    <w:p w:rsidR="00E260F5" w:rsidRPr="002945EE" w:rsidRDefault="00EE2FA1" w:rsidP="00214450">
      <w:pPr>
        <w:pStyle w:val="ae"/>
        <w:ind w:left="0" w:right="105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минимизация расходов на обслуживание муниципального долга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4514C5" w:rsidRPr="002945EE">
        <w:rPr>
          <w:lang w:val="ru-RU"/>
        </w:rPr>
        <w:t xml:space="preserve"> </w:t>
      </w:r>
      <w:r w:rsidR="00426C6E">
        <w:rPr>
          <w:lang w:val="ru-RU"/>
        </w:rPr>
        <w:t xml:space="preserve">Тимашевского </w:t>
      </w:r>
      <w:r w:rsidR="00E260F5"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</w:t>
      </w:r>
      <w:r w:rsidR="00C66B87">
        <w:rPr>
          <w:lang w:val="ru-RU"/>
        </w:rPr>
        <w:t>краевыми</w:t>
      </w:r>
      <w:r w:rsidR="00E260F5" w:rsidRPr="002945EE">
        <w:rPr>
          <w:lang w:val="ru-RU"/>
        </w:rPr>
        <w:t xml:space="preserve"> законами к полномочиям органов местного самоуправления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>
        <w:rPr>
          <w:lang w:val="ru-RU"/>
        </w:rPr>
        <w:t>.</w:t>
      </w:r>
    </w:p>
    <w:p w:rsidR="00166DB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соблюдение установленных Правительством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нормативов формирования расходов на оплату труда муниципальных служащих </w:t>
      </w:r>
      <w:r w:rsidR="00C66B87">
        <w:rPr>
          <w:lang w:val="ru-RU"/>
        </w:rPr>
        <w:t>Дербентс</w:t>
      </w:r>
      <w:r w:rsidR="004514C5">
        <w:rPr>
          <w:lang w:val="ru-RU"/>
        </w:rPr>
        <w:t>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1C2AE1">
        <w:rPr>
          <w:lang w:val="ru-RU"/>
        </w:rPr>
        <w:t xml:space="preserve">» и (или) содержание </w:t>
      </w:r>
      <w:r w:rsidR="00E260F5" w:rsidRPr="002945EE">
        <w:rPr>
          <w:lang w:val="ru-RU"/>
        </w:rPr>
        <w:t xml:space="preserve">органов местного самоуправления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E260F5" w:rsidRPr="002945EE">
        <w:rPr>
          <w:lang w:val="ru-RU"/>
        </w:rPr>
        <w:t>.</w:t>
      </w:r>
    </w:p>
    <w:p w:rsidR="002F794C" w:rsidRDefault="002F794C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В 2023 году и плановом периоде 2024 и 2025 годов планируется осуществлять управление сложивш</w:t>
      </w:r>
      <w:r w:rsidR="00593A68">
        <w:rPr>
          <w:lang w:val="ru-RU"/>
        </w:rPr>
        <w:t>и</w:t>
      </w:r>
      <w:r>
        <w:rPr>
          <w:lang w:val="ru-RU"/>
        </w:rPr>
        <w:t xml:space="preserve">мся в предшествующем году муниципальным долгом, обеспечивая своевременное погашение долговых обязательств, процентов по кредитам. Необходимые для этого средства </w:t>
      </w:r>
      <w:r w:rsidR="00830C93">
        <w:rPr>
          <w:lang w:val="ru-RU"/>
        </w:rPr>
        <w:t xml:space="preserve">на соответствующие годы </w:t>
      </w:r>
      <w:r>
        <w:rPr>
          <w:lang w:val="ru-RU"/>
        </w:rPr>
        <w:t xml:space="preserve">будут предусматриваться </w:t>
      </w:r>
      <w:r w:rsidR="00593A68">
        <w:rPr>
          <w:lang w:val="ru-RU"/>
        </w:rPr>
        <w:t>в местном бюджете в требуемом объеме.</w:t>
      </w:r>
    </w:p>
    <w:p w:rsidR="00166DB3" w:rsidRDefault="00166DB3" w:rsidP="00214450">
      <w:pPr>
        <w:pStyle w:val="ae"/>
        <w:ind w:left="0" w:right="106" w:firstLine="707"/>
        <w:jc w:val="both"/>
        <w:rPr>
          <w:lang w:val="ru-RU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роста процентной ставки и изменения стоимости заимствований в</w:t>
      </w:r>
      <w:r w:rsidR="00166DB3">
        <w:rPr>
          <w:sz w:val="28"/>
          <w:szCs w:val="28"/>
          <w:lang w:val="en-US"/>
        </w:rPr>
        <w:t> </w:t>
      </w:r>
      <w:r w:rsidR="00166DB3"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214450">
      <w:pPr>
        <w:pStyle w:val="ae"/>
        <w:ind w:left="0" w:right="106" w:firstLine="707"/>
        <w:jc w:val="both"/>
        <w:rPr>
          <w:lang w:val="ru-RU"/>
        </w:rPr>
      </w:pPr>
    </w:p>
    <w:p w:rsidR="00166DB3" w:rsidRDefault="00D96B82" w:rsidP="00BA521D">
      <w:pPr>
        <w:pStyle w:val="ae"/>
        <w:ind w:left="0" w:firstLine="707"/>
        <w:jc w:val="center"/>
        <w:rPr>
          <w:lang w:val="ru-RU"/>
        </w:rPr>
      </w:pPr>
      <w:r>
        <w:rPr>
          <w:lang w:val="ru-RU"/>
        </w:rPr>
        <w:t>4</w:t>
      </w:r>
      <w:r w:rsidR="00166DB3">
        <w:rPr>
          <w:lang w:val="ru-RU"/>
        </w:rPr>
        <w:t>.</w:t>
      </w:r>
      <w:r w:rsidR="00EE2FA1">
        <w:rPr>
          <w:lang w:val="ru-RU"/>
        </w:rPr>
        <w:t xml:space="preserve"> </w:t>
      </w:r>
      <w:r w:rsidR="00E260F5" w:rsidRPr="002945EE">
        <w:rPr>
          <w:lang w:val="ru-RU"/>
        </w:rPr>
        <w:t>Основные направления долговой политики</w:t>
      </w:r>
    </w:p>
    <w:p w:rsidR="00BA521D" w:rsidRDefault="00BA521D" w:rsidP="00BA521D">
      <w:pPr>
        <w:pStyle w:val="ae"/>
        <w:ind w:left="0" w:firstLine="707"/>
        <w:jc w:val="center"/>
        <w:rPr>
          <w:lang w:val="ru-RU"/>
        </w:rPr>
      </w:pPr>
    </w:p>
    <w:p w:rsidR="00E260F5" w:rsidRPr="002945EE" w:rsidRDefault="00E260F5" w:rsidP="00BA521D">
      <w:pPr>
        <w:pStyle w:val="1"/>
        <w:tabs>
          <w:tab w:val="left" w:pos="2958"/>
        </w:tabs>
        <w:ind w:left="0" w:firstLine="709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lastRenderedPageBreak/>
        <w:t>Основными направлениями долговой политики</w:t>
      </w:r>
      <w:r w:rsidRPr="002945EE">
        <w:rPr>
          <w:spacing w:val="-21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являются:</w:t>
      </w:r>
    </w:p>
    <w:p w:rsidR="00E260F5" w:rsidRPr="002945EE" w:rsidRDefault="00EE2FA1" w:rsidP="00BA521D">
      <w:pPr>
        <w:pStyle w:val="ae"/>
        <w:ind w:left="0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н</w:t>
      </w:r>
      <w:r w:rsidR="001C2AE1">
        <w:rPr>
          <w:lang w:val="ru-RU"/>
        </w:rPr>
        <w:t xml:space="preserve">а досрочное погашение долговых </w:t>
      </w:r>
      <w:r w:rsidR="00E260F5" w:rsidRPr="002945EE">
        <w:rPr>
          <w:lang w:val="ru-RU"/>
        </w:rPr>
        <w:t xml:space="preserve">обязательств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4514C5" w:rsidRPr="002945EE">
        <w:rPr>
          <w:lang w:val="ru-RU"/>
        </w:rPr>
        <w:t xml:space="preserve"> </w:t>
      </w:r>
      <w:r w:rsidR="001C2AE1">
        <w:rPr>
          <w:lang w:val="ru-RU"/>
        </w:rPr>
        <w:t xml:space="preserve">или замещение планируемых к </w:t>
      </w:r>
      <w:r w:rsidR="00E260F5" w:rsidRPr="002945EE">
        <w:rPr>
          <w:lang w:val="ru-RU"/>
        </w:rPr>
        <w:t>привлечению заемных</w:t>
      </w:r>
      <w:r w:rsidR="00E260F5" w:rsidRPr="002945EE">
        <w:rPr>
          <w:spacing w:val="-13"/>
          <w:lang w:val="ru-RU"/>
        </w:rPr>
        <w:t xml:space="preserve"> </w:t>
      </w:r>
      <w:r w:rsidR="00E260F5" w:rsidRPr="002945EE">
        <w:rPr>
          <w:lang w:val="ru-RU"/>
        </w:rPr>
        <w:t>средств;</w:t>
      </w:r>
    </w:p>
    <w:p w:rsidR="00E260F5" w:rsidRPr="002945EE" w:rsidRDefault="00EE2FA1" w:rsidP="00214450">
      <w:pPr>
        <w:pStyle w:val="ae"/>
        <w:ind w:left="0" w:right="109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новых расходных обязательств </w:t>
      </w:r>
      <w:r w:rsidR="00C66B87">
        <w:rPr>
          <w:lang w:val="ru-RU"/>
        </w:rPr>
        <w:t>Дербентск</w:t>
      </w:r>
      <w:r w:rsidR="004514C5">
        <w:rPr>
          <w:lang w:val="ru-RU"/>
        </w:rPr>
        <w:t>ого сельского поселения</w:t>
      </w:r>
      <w:r w:rsidR="00E260F5" w:rsidRPr="002945EE">
        <w:rPr>
          <w:lang w:val="ru-RU"/>
        </w:rPr>
        <w:t>, не обеспеченных источниками доходов;</w:t>
      </w:r>
    </w:p>
    <w:p w:rsidR="00E260F5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A72433">
        <w:rPr>
          <w:lang w:val="ru-RU"/>
        </w:rPr>
        <w:t xml:space="preserve">осуществление муниципальных внутренних заимствований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1C2AE1">
        <w:rPr>
          <w:lang w:val="ru-RU"/>
        </w:rPr>
        <w:t xml:space="preserve"> в соответствии с </w:t>
      </w:r>
      <w:r w:rsidR="00E260F5" w:rsidRPr="00A72433">
        <w:rPr>
          <w:lang w:val="ru-RU"/>
        </w:rPr>
        <w:t>законодательство</w:t>
      </w:r>
      <w:r w:rsidR="001C2AE1">
        <w:rPr>
          <w:lang w:val="ru-RU"/>
        </w:rPr>
        <w:t xml:space="preserve">м Российской </w:t>
      </w:r>
      <w:r w:rsidR="00BA521D">
        <w:rPr>
          <w:lang w:val="ru-RU"/>
        </w:rPr>
        <w:t>Федерации</w:t>
      </w:r>
      <w:r w:rsidR="00E260F5" w:rsidRPr="00A72433">
        <w:rPr>
          <w:lang w:val="ru-RU"/>
        </w:rPr>
        <w:t xml:space="preserve">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ским сельским поселением</w:t>
      </w:r>
      <w:r w:rsidR="00E260F5"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663EE3" w:rsidRPr="00663EE3">
        <w:rPr>
          <w:lang w:val="ru-RU"/>
        </w:rPr>
        <w:t xml:space="preserve">реализация мероприятий по оздоровлению </w:t>
      </w:r>
      <w:r w:rsidR="00663EE3" w:rsidRPr="00A72433">
        <w:rPr>
          <w:lang w:val="ru-RU"/>
        </w:rPr>
        <w:t>муниципальных</w:t>
      </w:r>
      <w:r w:rsidR="00663EE3" w:rsidRPr="00663EE3">
        <w:rPr>
          <w:lang w:val="ru-RU"/>
        </w:rPr>
        <w:t xml:space="preserve"> финансов </w:t>
      </w:r>
      <w:r w:rsidR="00C66B87">
        <w:rPr>
          <w:lang w:val="ru-RU"/>
        </w:rPr>
        <w:t>Дербент</w:t>
      </w:r>
      <w:r w:rsidR="00663EE3">
        <w:rPr>
          <w:lang w:val="ru-RU"/>
        </w:rPr>
        <w:t>ского сельского поселения;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6)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воздержание от предоставления муниципальных гарантий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по направлениям роста доходов и оптимизации расходов при формировании бюджетов, управлению муниципальным долгом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E2FA1" w:rsidP="00214450">
      <w:pPr>
        <w:pStyle w:val="ae"/>
        <w:ind w:left="0" w:right="108" w:firstLine="707"/>
        <w:jc w:val="both"/>
        <w:rPr>
          <w:lang w:val="ru-RU"/>
        </w:rPr>
      </w:pPr>
      <w:r>
        <w:rPr>
          <w:lang w:val="ru-RU"/>
        </w:rPr>
        <w:t>7)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мониторинга соответствия параметров муниципального долга </w:t>
      </w:r>
      <w:r w:rsidR="00214450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E2FA1" w:rsidP="00214450">
      <w:pPr>
        <w:pStyle w:val="ae"/>
        <w:ind w:left="0" w:right="115" w:firstLine="707"/>
        <w:jc w:val="both"/>
        <w:rPr>
          <w:lang w:val="ru-RU"/>
        </w:rPr>
      </w:pPr>
      <w:r>
        <w:rPr>
          <w:lang w:val="ru-RU"/>
        </w:rPr>
        <w:t>8)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4514C5" w:rsidRDefault="00E260F5" w:rsidP="00EE2FA1">
      <w:pPr>
        <w:pStyle w:val="ae"/>
        <w:tabs>
          <w:tab w:val="left" w:pos="7883"/>
        </w:tabs>
        <w:ind w:left="0"/>
        <w:rPr>
          <w:lang w:val="ru-RU"/>
        </w:rPr>
      </w:pPr>
      <w:r>
        <w:rPr>
          <w:lang w:val="ru-RU"/>
        </w:rPr>
        <w:t>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214450">
        <w:rPr>
          <w:spacing w:val="-2"/>
          <w:lang w:val="ru-RU"/>
        </w:rPr>
        <w:t>Дербентского</w:t>
      </w:r>
      <w:r w:rsidR="00EE2FA1">
        <w:rPr>
          <w:spacing w:val="-2"/>
          <w:lang w:val="ru-RU"/>
        </w:rPr>
        <w:t xml:space="preserve"> сельского поселения       </w:t>
      </w:r>
    </w:p>
    <w:p w:rsidR="00E260F5" w:rsidRPr="00EE2FA1" w:rsidRDefault="00214450" w:rsidP="00214450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Pr="00EE2FA1">
        <w:rPr>
          <w:sz w:val="28"/>
          <w:szCs w:val="28"/>
        </w:rPr>
        <w:t>района</w:t>
      </w:r>
      <w:r w:rsidR="00EE2FA1" w:rsidRPr="00EE2FA1">
        <w:rPr>
          <w:spacing w:val="-2"/>
          <w:sz w:val="28"/>
          <w:szCs w:val="28"/>
        </w:rPr>
        <w:t xml:space="preserve">                                                                        С.С. Колесников</w:t>
      </w:r>
    </w:p>
    <w:sectPr w:rsidR="00E260F5" w:rsidRPr="00EE2FA1" w:rsidSect="00EE2FA1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EA" w:rsidRDefault="00FC0CEA" w:rsidP="00EE2FA1">
      <w:r>
        <w:separator/>
      </w:r>
    </w:p>
  </w:endnote>
  <w:endnote w:type="continuationSeparator" w:id="0">
    <w:p w:rsidR="00FC0CEA" w:rsidRDefault="00FC0CEA" w:rsidP="00E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EA" w:rsidRDefault="00FC0CEA" w:rsidP="00EE2FA1">
      <w:r>
        <w:separator/>
      </w:r>
    </w:p>
  </w:footnote>
  <w:footnote w:type="continuationSeparator" w:id="0">
    <w:p w:rsidR="00FC0CEA" w:rsidRDefault="00FC0CEA" w:rsidP="00EE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711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2FA1" w:rsidRPr="00EE2FA1" w:rsidRDefault="00CB50F7" w:rsidP="00EE2FA1">
        <w:pPr>
          <w:pStyle w:val="af0"/>
          <w:jc w:val="center"/>
          <w:rPr>
            <w:sz w:val="28"/>
            <w:szCs w:val="28"/>
          </w:rPr>
        </w:pPr>
        <w:r w:rsidRPr="00EE2FA1">
          <w:rPr>
            <w:sz w:val="28"/>
            <w:szCs w:val="28"/>
          </w:rPr>
          <w:fldChar w:fldCharType="begin"/>
        </w:r>
        <w:r w:rsidR="00EE2FA1" w:rsidRPr="00EE2FA1">
          <w:rPr>
            <w:sz w:val="28"/>
            <w:szCs w:val="28"/>
          </w:rPr>
          <w:instrText>PAGE   \* MERGEFORMAT</w:instrText>
        </w:r>
        <w:r w:rsidRPr="00EE2FA1">
          <w:rPr>
            <w:sz w:val="28"/>
            <w:szCs w:val="28"/>
          </w:rPr>
          <w:fldChar w:fldCharType="separate"/>
        </w:r>
        <w:r w:rsidR="00C8451B">
          <w:rPr>
            <w:noProof/>
            <w:sz w:val="28"/>
            <w:szCs w:val="28"/>
          </w:rPr>
          <w:t>2</w:t>
        </w:r>
        <w:r w:rsidRPr="00EE2FA1">
          <w:rPr>
            <w:sz w:val="28"/>
            <w:szCs w:val="28"/>
          </w:rPr>
          <w:fldChar w:fldCharType="end"/>
        </w:r>
      </w:p>
    </w:sdtContent>
  </w:sdt>
  <w:p w:rsidR="00EE2FA1" w:rsidRPr="00EE2FA1" w:rsidRDefault="00EE2FA1" w:rsidP="00EE2FA1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 w15:restartNumberingAfterBreak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6A"/>
    <w:rsid w:val="0003692D"/>
    <w:rsid w:val="000B0D33"/>
    <w:rsid w:val="000B3778"/>
    <w:rsid w:val="000D6E45"/>
    <w:rsid w:val="000F1801"/>
    <w:rsid w:val="000F7D51"/>
    <w:rsid w:val="00111E7B"/>
    <w:rsid w:val="00166DB3"/>
    <w:rsid w:val="00171738"/>
    <w:rsid w:val="00176FA9"/>
    <w:rsid w:val="001B1D4F"/>
    <w:rsid w:val="001C2AE1"/>
    <w:rsid w:val="001D084C"/>
    <w:rsid w:val="001F5BAB"/>
    <w:rsid w:val="00214450"/>
    <w:rsid w:val="00237DA4"/>
    <w:rsid w:val="00260836"/>
    <w:rsid w:val="002F794C"/>
    <w:rsid w:val="00307BE8"/>
    <w:rsid w:val="00355968"/>
    <w:rsid w:val="0036450C"/>
    <w:rsid w:val="00367AD4"/>
    <w:rsid w:val="003B030A"/>
    <w:rsid w:val="003B5F9B"/>
    <w:rsid w:val="0041503D"/>
    <w:rsid w:val="00426C6E"/>
    <w:rsid w:val="00442FAA"/>
    <w:rsid w:val="004514C5"/>
    <w:rsid w:val="0045168C"/>
    <w:rsid w:val="004524B6"/>
    <w:rsid w:val="0045676A"/>
    <w:rsid w:val="00462821"/>
    <w:rsid w:val="00486E6A"/>
    <w:rsid w:val="004A2831"/>
    <w:rsid w:val="004B7EA4"/>
    <w:rsid w:val="004C1546"/>
    <w:rsid w:val="004C4667"/>
    <w:rsid w:val="004F0BD9"/>
    <w:rsid w:val="00534F7B"/>
    <w:rsid w:val="005513A2"/>
    <w:rsid w:val="00593A68"/>
    <w:rsid w:val="005A5E0F"/>
    <w:rsid w:val="005B5BA6"/>
    <w:rsid w:val="005B7259"/>
    <w:rsid w:val="005B7DD5"/>
    <w:rsid w:val="005D4A01"/>
    <w:rsid w:val="005D4D64"/>
    <w:rsid w:val="005F2DB5"/>
    <w:rsid w:val="00607B0B"/>
    <w:rsid w:val="0063429D"/>
    <w:rsid w:val="00641068"/>
    <w:rsid w:val="00663EE3"/>
    <w:rsid w:val="006D0F0D"/>
    <w:rsid w:val="006E0FE8"/>
    <w:rsid w:val="00710272"/>
    <w:rsid w:val="00717A09"/>
    <w:rsid w:val="00773732"/>
    <w:rsid w:val="00774747"/>
    <w:rsid w:val="007771E2"/>
    <w:rsid w:val="007D19DC"/>
    <w:rsid w:val="007F1ABE"/>
    <w:rsid w:val="008010E1"/>
    <w:rsid w:val="00806FA4"/>
    <w:rsid w:val="00812C57"/>
    <w:rsid w:val="00830C93"/>
    <w:rsid w:val="00833296"/>
    <w:rsid w:val="008432D1"/>
    <w:rsid w:val="00850509"/>
    <w:rsid w:val="00850607"/>
    <w:rsid w:val="008630D4"/>
    <w:rsid w:val="00875681"/>
    <w:rsid w:val="00882411"/>
    <w:rsid w:val="00890652"/>
    <w:rsid w:val="00981555"/>
    <w:rsid w:val="00984439"/>
    <w:rsid w:val="00994382"/>
    <w:rsid w:val="009C451B"/>
    <w:rsid w:val="009C5964"/>
    <w:rsid w:val="009F1118"/>
    <w:rsid w:val="00A03A3E"/>
    <w:rsid w:val="00A442E4"/>
    <w:rsid w:val="00A92E03"/>
    <w:rsid w:val="00AD7AC3"/>
    <w:rsid w:val="00AF622D"/>
    <w:rsid w:val="00B346D2"/>
    <w:rsid w:val="00B55A58"/>
    <w:rsid w:val="00BA521D"/>
    <w:rsid w:val="00BE124B"/>
    <w:rsid w:val="00BF01E3"/>
    <w:rsid w:val="00BF2ECC"/>
    <w:rsid w:val="00C20805"/>
    <w:rsid w:val="00C20853"/>
    <w:rsid w:val="00C335AE"/>
    <w:rsid w:val="00C41941"/>
    <w:rsid w:val="00C54107"/>
    <w:rsid w:val="00C66B87"/>
    <w:rsid w:val="00C76AE5"/>
    <w:rsid w:val="00C8451B"/>
    <w:rsid w:val="00CB50F7"/>
    <w:rsid w:val="00CD5692"/>
    <w:rsid w:val="00CE473D"/>
    <w:rsid w:val="00CE7150"/>
    <w:rsid w:val="00D12995"/>
    <w:rsid w:val="00D5221E"/>
    <w:rsid w:val="00D96B82"/>
    <w:rsid w:val="00DB2C16"/>
    <w:rsid w:val="00DC72DC"/>
    <w:rsid w:val="00DC7DB6"/>
    <w:rsid w:val="00DE407D"/>
    <w:rsid w:val="00E1326C"/>
    <w:rsid w:val="00E260F5"/>
    <w:rsid w:val="00E316F1"/>
    <w:rsid w:val="00E53F6C"/>
    <w:rsid w:val="00E94DCC"/>
    <w:rsid w:val="00ED1BF8"/>
    <w:rsid w:val="00EE2FA1"/>
    <w:rsid w:val="00F21C08"/>
    <w:rsid w:val="00F26452"/>
    <w:rsid w:val="00F57AD3"/>
    <w:rsid w:val="00FA608D"/>
    <w:rsid w:val="00FB1D6F"/>
    <w:rsid w:val="00FC0CEA"/>
    <w:rsid w:val="00FD01A1"/>
    <w:rsid w:val="00FD1058"/>
    <w:rsid w:val="00FD5029"/>
    <w:rsid w:val="00FE2686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AAB61"/>
  <w15:docId w15:val="{ED907BD8-3ED8-4ECD-A2A7-F091083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2FA1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2F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6</cp:revision>
  <cp:lastPrinted>2022-11-29T11:09:00Z</cp:lastPrinted>
  <dcterms:created xsi:type="dcterms:W3CDTF">2022-11-29T10:58:00Z</dcterms:created>
  <dcterms:modified xsi:type="dcterms:W3CDTF">2022-12-12T07:15:00Z</dcterms:modified>
</cp:coreProperties>
</file>