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AB" w:rsidRPr="00B36EAB" w:rsidRDefault="003D708B" w:rsidP="00B36E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«Хороший спортсмен – выносливый воин»</w:t>
      </w:r>
    </w:p>
    <w:p w:rsidR="00B36EAB" w:rsidRPr="00B36EAB" w:rsidRDefault="000E0883" w:rsidP="000E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36EAB"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подготовка военнослужащих — это залог боеспособности армии. Сегодня в Вооруженных Силах России все большее внимание уделяется развити</w:t>
      </w:r>
      <w:r w:rsid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физической культуры и спорта. </w:t>
      </w:r>
      <w:r w:rsidR="00B36EAB"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подготовка в ВС РФ определена «базовым элементом военно-профессиональной и морально-психологичес</w:t>
      </w:r>
      <w:r w:rsid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готовности военнослужащих».</w:t>
      </w:r>
      <w:r w:rsidR="00B36EAB"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36EAB"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армии и на флоте в служебное время введен ежедневный час занятий физической подготовкой. В связи с увеличением физической нагрузки внесены изменения в распорядок дня военнослужащих</w:t>
      </w:r>
      <w:bookmarkStart w:id="0" w:name="_GoBack"/>
      <w:bookmarkEnd w:id="0"/>
      <w:r w:rsidR="00B36EAB"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частности, на 30 минут увеличена продолжительность ночного отдыха, в распорядок дня включен 1 час отдых</w:t>
      </w:r>
      <w:r w:rsid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(сна) в послеобеденное время.</w:t>
      </w:r>
    </w:p>
    <w:p w:rsidR="000E0883" w:rsidRDefault="00B36EAB" w:rsidP="000E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военнослужащих по контракту установлена ежемесячная надбавка за квалификационный уровень физической подготовленности и за подтверждение спортивных разрядов —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до 300% должностного оклада.</w:t>
      </w: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для организации физической подготовки военнослужащих будут построены многофункциональные спортивные комплексы на 100, 300, 500 человек (из расчета на батальон, полк, бригаду), что позволит проводить занятия в комфортных условиях на современных спортивных снарядах и тренажерах.</w:t>
      </w:r>
    </w:p>
    <w:p w:rsidR="000E0883" w:rsidRDefault="000E0883" w:rsidP="000E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7"/>
        <w:gridCol w:w="5994"/>
      </w:tblGrid>
      <w:tr w:rsidR="000E0883" w:rsidTr="0032599F">
        <w:tc>
          <w:tcPr>
            <w:tcW w:w="4503" w:type="dxa"/>
          </w:tcPr>
          <w:p w:rsidR="000E0883" w:rsidRDefault="000E0883" w:rsidP="000E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3116925" cy="2143125"/>
                  <wp:effectExtent l="0" t="0" r="7620" b="0"/>
                  <wp:docPr id="22" name="Рисунок 22" descr="C:\Users\Татьяна\Desktop\picturepicture_5656424060110_86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picturepicture_5656424060110_86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342" cy="214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0E0883" w:rsidRPr="00F317BE" w:rsidRDefault="000E0883" w:rsidP="007B08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Развивая спортивную работу в войсках, Минобороны России входит в Международный совет военного спорта, в котором состоят 137 государств под девизом «дружба через спорт». Сборные команды ВС РФ прин</w:t>
            </w:r>
            <w:r w:rsidR="007B0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имают</w:t>
            </w:r>
            <w:r w:rsidRPr="00B36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международных спортивных мероприятиях под эгидой Международного совета военного спорта: </w:t>
            </w:r>
            <w:r w:rsidR="003D708B" w:rsidRPr="00F31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36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зимних Всемирных военных играх, </w:t>
            </w:r>
            <w:r w:rsidR="003D708B" w:rsidRPr="00F31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B36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чемпионате Европы СИЗМ по военному пятиборью, в чемпионате Мира СИЗМ по спортивному ориентированию.</w:t>
            </w:r>
          </w:p>
        </w:tc>
      </w:tr>
    </w:tbl>
    <w:p w:rsidR="003D708B" w:rsidRDefault="003D708B" w:rsidP="003D708B">
      <w:pPr>
        <w:shd w:val="clear" w:color="auto" w:fill="FFFFFF"/>
        <w:spacing w:after="0" w:line="240" w:lineRule="auto"/>
        <w:rPr>
          <w:rFonts w:ascii="PTSansRegular" w:eastAsia="Times New Roman" w:hAnsi="PTSansRegular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7"/>
        <w:gridCol w:w="5844"/>
      </w:tblGrid>
      <w:tr w:rsidR="003D708B" w:rsidTr="0032599F">
        <w:trPr>
          <w:trHeight w:val="3635"/>
        </w:trPr>
        <w:tc>
          <w:tcPr>
            <w:tcW w:w="5070" w:type="dxa"/>
          </w:tcPr>
          <w:p w:rsidR="003D708B" w:rsidRDefault="003D708B" w:rsidP="003D708B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3217632" cy="2276475"/>
                  <wp:effectExtent l="0" t="0" r="1905" b="0"/>
                  <wp:docPr id="25" name="Рисунок 25" descr="C:\Users\Татьяна\Desktop\warg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тьяна\Desktop\warg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32" cy="22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3D708B" w:rsidRDefault="003D708B" w:rsidP="003D708B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3059446" cy="2276475"/>
                  <wp:effectExtent l="0" t="0" r="7620" b="0"/>
                  <wp:docPr id="24" name="Рисунок 24" descr="C:\Users\Татьяна\Desktop\gallery_58a87ad41a3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\Desktop\gallery_58a87ad41a3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594" cy="22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7BE" w:rsidRPr="0032599F" w:rsidRDefault="00B36EAB" w:rsidP="009A4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B36EAB">
        <w:rPr>
          <w:rFonts w:ascii="PTSansRegular" w:eastAsia="Times New Roman" w:hAnsi="PTSansRegular" w:cs="Times New Roman"/>
          <w:color w:val="000000"/>
          <w:sz w:val="27"/>
          <w:szCs w:val="27"/>
          <w:lang w:eastAsia="ru-RU"/>
        </w:rPr>
        <w:br/>
      </w:r>
      <w:r w:rsidR="00F31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Физическая, подготовка в армии развивает выносливость, ловкость укрепляет здоровье. Именно в армии молодой человек становится сильным, смелым, закаленным — настоящим защитником Отечества.</w:t>
      </w: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1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вооруженных силах России действуют массовые спортивные клубы, многие из которых работают по разным направлениям: Центральный спортивный клуб Армии; ЦСК ВВС; Филиал центра подготовки армейских спортсменов; СКА Смоленск; СКА Санкт-Петербург; СКА Ростов-на-Дону; СКА Хабаровск.</w:t>
      </w:r>
      <w:r w:rsidRPr="00B3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E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lastRenderedPageBreak/>
        <w:t>В вооруженных силах РФ большое внимание уделяется таким направлениям физкультурно-спортивной работы:</w:t>
      </w:r>
    </w:p>
    <w:p w:rsidR="00F317BE" w:rsidRDefault="00F317BE" w:rsidP="00F31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6"/>
        <w:gridCol w:w="3623"/>
        <w:gridCol w:w="3602"/>
      </w:tblGrid>
      <w:tr w:rsidR="00F317BE" w:rsidTr="00F31B7E">
        <w:tc>
          <w:tcPr>
            <w:tcW w:w="3906" w:type="dxa"/>
          </w:tcPr>
          <w:p w:rsidR="00F317BE" w:rsidRDefault="00F317BE" w:rsidP="00F317BE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армейский рукопашный бой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66925" cy="1465638"/>
                  <wp:effectExtent l="0" t="0" r="0" b="1270"/>
                  <wp:docPr id="9" name="Рисунок 9" descr="http://slavyanskaya-kultura.ru/upload/blogs/809b4bc1d25eddb778534c60d0fb7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lavyanskaya-kultura.ru/upload/blogs/809b4bc1d25eddb778534c60d0fb7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6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:rsidR="00F317BE" w:rsidRDefault="00F317BE" w:rsidP="00F317BE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военно-спортивное многоборье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19300" cy="1431867"/>
                  <wp:effectExtent l="0" t="0" r="0" b="0"/>
                  <wp:docPr id="10" name="Рисунок 10" descr="http://slavyanskaya-kultura.ru/upload/blogs/f00a11131a5844558c18785f5d72a1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lavyanskaya-kultura.ru/upload/blogs/f00a11131a5844558c18785f5d72a1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3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2" w:type="dxa"/>
          </w:tcPr>
          <w:p w:rsidR="00F317BE" w:rsidRDefault="00F317BE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гребля на шлюпках;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F317BE" w:rsidRDefault="00F317BE" w:rsidP="00F317BE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01472" cy="1419225"/>
                  <wp:effectExtent l="0" t="0" r="0" b="0"/>
                  <wp:docPr id="11" name="Рисунок 11" descr="http://slavyanskaya-kultura.ru/upload/blogs/2c135ed0de174322e60fb85fadb46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lavyanskaya-kultura.ru/upload/blogs/2c135ed0de174322e60fb85fadb46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50" cy="142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7BE" w:rsidTr="00F31B7E">
        <w:tc>
          <w:tcPr>
            <w:tcW w:w="3906" w:type="dxa"/>
          </w:tcPr>
          <w:p w:rsidR="00F317BE" w:rsidRDefault="00F317BE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стрельба из штатного и табельного оружия;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752600" cy="1242753"/>
                  <wp:effectExtent l="0" t="0" r="0" b="0"/>
                  <wp:docPr id="13" name="Рисунок 13" descr="http://slavyanskaya-kultura.ru/upload/blogs/3ac916e83013c1678ea3e475f32ded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lavyanskaya-kultura.ru/upload/blogs/3ac916e83013c1678ea3e475f32ded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:rsidR="00F317BE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Офицерское </w:t>
            </w:r>
            <w:proofErr w:type="spellStart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четырехборье</w:t>
            </w:r>
            <w:proofErr w:type="spellEnd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 (летнее и зимнее)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38854" cy="1323975"/>
                  <wp:effectExtent l="0" t="0" r="9525" b="0"/>
                  <wp:docPr id="29" name="Рисунок 29" descr="http://www.arms-expo.ru/img/202/2024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ms-expo.ru/img/202/2024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54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2" w:type="dxa"/>
          </w:tcPr>
          <w:p w:rsidR="00F317BE" w:rsidRPr="00B36EAB" w:rsidRDefault="0032599F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Перетягивание каната в форме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47740" cy="1381125"/>
                  <wp:effectExtent l="0" t="0" r="0" b="0"/>
                  <wp:docPr id="17" name="Рисунок 17" descr="http://slavyanskaya-kultura.ru/upload/blogs/3a0a94e834ca17f288e692c5ea2fa9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lavyanskaya-kultura.ru/upload/blogs/3a0a94e834ca17f288e692c5ea2fa9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74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99F" w:rsidTr="00F31B7E">
        <w:trPr>
          <w:trHeight w:val="3435"/>
        </w:trPr>
        <w:tc>
          <w:tcPr>
            <w:tcW w:w="3906" w:type="dxa"/>
            <w:vMerge w:val="restart"/>
          </w:tcPr>
          <w:p w:rsidR="0032599F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военно прикладной</w:t>
            </w:r>
            <w:proofErr w:type="gramEnd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 спорт, куда входит: бег в форме 1000 и 3000 метров; военизированный кросс; военно-авиационное пятиборье; военное многоборье (ВТ-3 и ВТ-4); корабельное пятиборье; лыжная гонка в форме 5 и 10 км; лыжный марш-бросок 5, 10 и 20 км; марш-бросок на 5 и 10 километров; метание гранаты (на дальность и</w:t>
            </w:r>
            <w:r w:rsidR="00B546E3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 на точность); ныряние в длину</w:t>
            </w:r>
          </w:p>
          <w:p w:rsidR="0032599F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7850" cy="1328141"/>
                  <wp:effectExtent l="0" t="0" r="0" b="5715"/>
                  <wp:docPr id="27" name="Рисунок 27" descr="C:\Users\Татьяна\Desktop\HL6A1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тьяна\Desktop\HL6A1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382" cy="133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99F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</w:p>
          <w:p w:rsidR="0032599F" w:rsidRPr="00B36EAB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623" w:type="dxa"/>
          </w:tcPr>
          <w:p w:rsidR="0032599F" w:rsidRPr="00B36EAB" w:rsidRDefault="0032599F" w:rsidP="0032599F">
            <w:pPr>
              <w:shd w:val="clear" w:color="auto" w:fill="FFFFFF"/>
              <w:jc w:val="center"/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Парашютное двоеборье</w:t>
            </w:r>
          </w:p>
          <w:p w:rsidR="0032599F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14550" cy="1481744"/>
                  <wp:effectExtent l="0" t="0" r="0" b="4445"/>
                  <wp:docPr id="30" name="Рисунок 30" descr="C:\Users\Татьяна\Desktop\1492590166_4b1aae806faabf62c4c4af9341f0a3d3ad94f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Татьяна\Desktop\1492590166_4b1aae806faabf62c4c4af9341f0a3d3ad94f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149" cy="148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2" w:type="dxa"/>
          </w:tcPr>
          <w:p w:rsidR="0032599F" w:rsidRPr="00B36EAB" w:rsidRDefault="0032599F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Полоса препятствий ОКУ, СКУ </w:t>
            </w:r>
            <w:proofErr w:type="gramStart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, СКУ ТВ, ВДВ, ВМФ, СКУ Г</w:t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108934" cy="1495425"/>
                  <wp:effectExtent l="0" t="0" r="5715" b="0"/>
                  <wp:docPr id="31" name="Рисунок 31" descr="http://slavyanskaya-kultura.ru/upload/blogs/1114f41c5149322080521e8360288c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lavyanskaya-kultura.ru/upload/blogs/1114f41c5149322080521e8360288c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057" cy="149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32599F" w:rsidTr="00F31B7E">
        <w:trPr>
          <w:trHeight w:val="3180"/>
        </w:trPr>
        <w:tc>
          <w:tcPr>
            <w:tcW w:w="3906" w:type="dxa"/>
            <w:vMerge/>
          </w:tcPr>
          <w:p w:rsidR="0032599F" w:rsidRPr="00B36EAB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623" w:type="dxa"/>
          </w:tcPr>
          <w:p w:rsidR="0032599F" w:rsidRDefault="0032599F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Упражнения на СКГ, </w:t>
            </w:r>
            <w:proofErr w:type="spellStart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лопинге</w:t>
            </w:r>
            <w:proofErr w:type="spellEnd"/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, ПКГ.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122366" cy="1504950"/>
                  <wp:effectExtent l="0" t="0" r="0" b="0"/>
                  <wp:docPr id="32" name="Рисунок 32" descr="http://slavyanskaya-kultura.ru/upload/blogs/7ea57cfbfe3f668098a1661c24a97f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lavyanskaya-kultura.ru/upload/blogs/7ea57cfbfe3f668098a1661c24a97f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97" cy="150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2" w:type="dxa"/>
          </w:tcPr>
          <w:p w:rsidR="0032599F" w:rsidRPr="00B36EAB" w:rsidRDefault="0032599F" w:rsidP="0032599F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част</w:t>
            </w:r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ие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 в международных военно-спортив</w:t>
            </w:r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ных соревнованиях по многоборью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790700" cy="1269770"/>
                  <wp:effectExtent l="0" t="0" r="0" b="6985"/>
                  <wp:docPr id="34" name="Рисунок 34" descr="http://slavyanskaya-kultura.ru/upload/blogs/dee5e04cd1712c12b2caa20bc436a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lavyanskaya-kultura.ru/upload/blogs/dee5e04cd1712c12b2caa20bc436a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468" cy="127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7BE" w:rsidTr="00F31B7E">
        <w:tc>
          <w:tcPr>
            <w:tcW w:w="3906" w:type="dxa"/>
          </w:tcPr>
          <w:p w:rsidR="00F317BE" w:rsidRDefault="00B546E3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гребно-парусное</w:t>
            </w:r>
            <w:proofErr w:type="spellEnd"/>
            <w: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 xml:space="preserve"> двоеборье</w:t>
            </w:r>
            <w:r w:rsidR="00F317BE"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="00F317BE"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585058" cy="1123950"/>
                  <wp:effectExtent l="0" t="0" r="0" b="0"/>
                  <wp:docPr id="12" name="Рисунок 12" descr="http://slavyanskaya-kultura.ru/upload/blogs/4131af7be1d564fb9915822e2b26bc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lavyanskaya-kultura.ru/upload/blogs/4131af7be1d564fb9915822e2b26bc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380" cy="1125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:rsidR="00F317BE" w:rsidRDefault="00F31B7E" w:rsidP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Плавание с автоматом</w:t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476375" cy="1046884"/>
                  <wp:effectExtent l="0" t="0" r="0" b="1270"/>
                  <wp:docPr id="18" name="Рисунок 18" descr="http://slavyanskaya-kultura.ru/upload/blogs/4b542a70d29e858ae750b1df19461b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lavyanskaya-kultura.ru/upload/blogs/4b542a70d29e858ae750b1df19461b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078" cy="104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2" w:type="dxa"/>
          </w:tcPr>
          <w:p w:rsidR="00F317BE" w:rsidRPr="00B36EAB" w:rsidRDefault="00F317BE">
            <w:pPr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</w:pP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t>Парусные гонки</w:t>
            </w:r>
            <w:r w:rsidRPr="00B36EAB">
              <w:rPr>
                <w:rFonts w:ascii="PTSansRegular" w:eastAsia="Times New Roman" w:hAnsi="PTSansRegular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36EAB">
              <w:rPr>
                <w:rFonts w:ascii="PTSansRegular" w:eastAsia="Times New Roman" w:hAnsi="PTSansRegular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531327" cy="1085850"/>
                  <wp:effectExtent l="0" t="0" r="0" b="0"/>
                  <wp:docPr id="16" name="Рисунок 16" descr="http://slavyanskaya-kultura.ru/upload/blogs/4c8f3c7f9057bee7c88a3e4b3819ce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lavyanskaya-kultura.ru/upload/blogs/4c8f3c7f9057bee7c88a3e4b3819ce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2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EAB" w:rsidRDefault="00B36EAB" w:rsidP="00077366">
      <w:pPr>
        <w:shd w:val="clear" w:color="auto" w:fill="FFFFFF"/>
        <w:spacing w:line="240" w:lineRule="auto"/>
        <w:rPr>
          <w:rFonts w:ascii="PTSansRegular" w:eastAsia="Times New Roman" w:hAnsi="PTSansRegular" w:cs="Times New Roman"/>
          <w:color w:val="000000"/>
          <w:sz w:val="27"/>
          <w:szCs w:val="27"/>
          <w:lang w:eastAsia="ru-RU"/>
        </w:rPr>
      </w:pPr>
    </w:p>
    <w:sectPr w:rsidR="00B36EAB" w:rsidSect="00F317B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89F"/>
    <w:rsid w:val="00077366"/>
    <w:rsid w:val="0008178E"/>
    <w:rsid w:val="000E0883"/>
    <w:rsid w:val="0032599F"/>
    <w:rsid w:val="003D708B"/>
    <w:rsid w:val="006E289F"/>
    <w:rsid w:val="006E7430"/>
    <w:rsid w:val="00731764"/>
    <w:rsid w:val="007B08A4"/>
    <w:rsid w:val="009807D5"/>
    <w:rsid w:val="009A4B3D"/>
    <w:rsid w:val="00A02E4C"/>
    <w:rsid w:val="00A76875"/>
    <w:rsid w:val="00AC3964"/>
    <w:rsid w:val="00B36EAB"/>
    <w:rsid w:val="00B546E3"/>
    <w:rsid w:val="00CD63AE"/>
    <w:rsid w:val="00CE0D34"/>
    <w:rsid w:val="00F317BE"/>
    <w:rsid w:val="00F3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E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E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3295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53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16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6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28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44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0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64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488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3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675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24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55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91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06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81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6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83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7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73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1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45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</cp:lastModifiedBy>
  <cp:revision>9</cp:revision>
  <cp:lastPrinted>2018-10-26T05:59:00Z</cp:lastPrinted>
  <dcterms:created xsi:type="dcterms:W3CDTF">2018-10-26T04:45:00Z</dcterms:created>
  <dcterms:modified xsi:type="dcterms:W3CDTF">2020-05-02T11:23:00Z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264880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