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4820" w:type="dxa"/>
        <w:tblInd w:w="108" w:type="dxa"/>
        <w:tblBorders>
          <w:top w:val="single" w:sz="18" w:space="0" w:color="000099"/>
          <w:left w:val="single" w:sz="18" w:space="0" w:color="000099"/>
          <w:bottom w:val="single" w:sz="18" w:space="0" w:color="000099"/>
          <w:right w:val="single" w:sz="18" w:space="0" w:color="000099"/>
          <w:insideH w:val="none" w:sz="0" w:space="0" w:color="auto"/>
          <w:insideV w:val="none" w:sz="0" w:space="0" w:color="auto"/>
        </w:tblBorders>
        <w:tblLook w:val="04A0"/>
      </w:tblPr>
      <w:tblGrid>
        <w:gridCol w:w="4820"/>
      </w:tblGrid>
      <w:tr w:rsidR="00C33CD6" w:rsidTr="005A5270">
        <w:tc>
          <w:tcPr>
            <w:tcW w:w="4820" w:type="dxa"/>
          </w:tcPr>
          <w:p w:rsidR="00C33CD6" w:rsidRPr="00D82CCB" w:rsidRDefault="00C33CD6" w:rsidP="00D82CCB">
            <w:pPr>
              <w:jc w:val="center"/>
              <w:rPr>
                <w:b/>
                <w:color w:val="C00000"/>
              </w:rPr>
            </w:pPr>
            <w:proofErr w:type="spellStart"/>
            <w:r w:rsidRPr="00D82CCB">
              <w:rPr>
                <w:b/>
                <w:bCs/>
                <w:iCs/>
                <w:color w:val="C00000"/>
              </w:rPr>
              <w:t>Дискалькулия</w:t>
            </w:r>
            <w:proofErr w:type="spellEnd"/>
            <w:r w:rsidRPr="00D82CCB">
              <w:rPr>
                <w:b/>
                <w:bCs/>
                <w:iCs/>
                <w:color w:val="C00000"/>
              </w:rPr>
              <w:t xml:space="preserve">  является  специфическим</w:t>
            </w:r>
          </w:p>
          <w:p w:rsidR="00C33CD6" w:rsidRPr="00D82CCB" w:rsidRDefault="00C33CD6" w:rsidP="00D82CCB">
            <w:pPr>
              <w:jc w:val="center"/>
              <w:rPr>
                <w:b/>
                <w:bCs/>
                <w:iCs/>
                <w:color w:val="C00000"/>
              </w:rPr>
            </w:pPr>
            <w:r w:rsidRPr="00D82CCB">
              <w:rPr>
                <w:b/>
                <w:bCs/>
                <w:iCs/>
                <w:color w:val="C00000"/>
              </w:rPr>
              <w:t>нарушением обучения счету.</w:t>
            </w:r>
          </w:p>
          <w:p w:rsidR="00C33CD6" w:rsidRDefault="00F70027" w:rsidP="00F7002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  <w:noProof/>
                <w:lang w:eastAsia="ru-RU"/>
              </w:rPr>
              <w:drawing>
                <wp:inline distT="0" distB="0" distL="0" distR="0">
                  <wp:extent cx="1110503" cy="843983"/>
                  <wp:effectExtent l="19050" t="0" r="0" b="0"/>
                  <wp:docPr id="23" name="Рисунок 22" descr="Trudnaja-zadacha-300x2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udnaja-zadacha-300x228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745" cy="840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70027" w:rsidRDefault="00F70027" w:rsidP="00F70027">
            <w:pPr>
              <w:jc w:val="center"/>
              <w:rPr>
                <w:bCs/>
                <w:iCs/>
              </w:rPr>
            </w:pPr>
          </w:p>
          <w:p w:rsidR="00C33CD6" w:rsidRPr="00D82CCB" w:rsidRDefault="00C33CD6" w:rsidP="00C33CD6">
            <w:pPr>
              <w:jc w:val="center"/>
              <w:rPr>
                <w:b/>
                <w:color w:val="000099"/>
              </w:rPr>
            </w:pPr>
            <w:r w:rsidRPr="00D82CCB">
              <w:rPr>
                <w:b/>
                <w:color w:val="000099"/>
              </w:rPr>
              <w:t xml:space="preserve">Основные причины, которые могут привести к развитию </w:t>
            </w:r>
            <w:proofErr w:type="spellStart"/>
            <w:r w:rsidRPr="00D82CCB">
              <w:rPr>
                <w:b/>
                <w:color w:val="000099"/>
              </w:rPr>
              <w:t>дискалькулии</w:t>
            </w:r>
            <w:proofErr w:type="spellEnd"/>
            <w:r w:rsidRPr="00D82CCB">
              <w:rPr>
                <w:b/>
                <w:color w:val="000099"/>
              </w:rPr>
              <w:t>.</w:t>
            </w:r>
          </w:p>
          <w:p w:rsidR="00C33CD6" w:rsidRDefault="00C33CD6" w:rsidP="00C33CD6">
            <w:pPr>
              <w:jc w:val="both"/>
            </w:pPr>
          </w:p>
          <w:p w:rsidR="00C33CD6" w:rsidRPr="00D82CCB" w:rsidRDefault="00C33CD6" w:rsidP="00C33CD6">
            <w:pPr>
              <w:pStyle w:val="a4"/>
              <w:numPr>
                <w:ilvl w:val="0"/>
                <w:numId w:val="1"/>
              </w:numPr>
              <w:ind w:left="0" w:firstLine="360"/>
              <w:jc w:val="both"/>
            </w:pPr>
            <w:r w:rsidRPr="00D82CCB">
              <w:rPr>
                <w:b/>
                <w:color w:val="C00000"/>
              </w:rPr>
              <w:t>Различные проявления фобий, в частности, математической.</w:t>
            </w:r>
            <w:r>
              <w:t xml:space="preserve"> </w:t>
            </w:r>
            <w:r w:rsidRPr="00D82CCB">
              <w:t xml:space="preserve">Ребенок школьного возраста, не усвоив математическое действие, самостоятельно разобраться с ним не смог. Он будет постоянно себе внушать, что у него ничего не получится. Отсюда возникает негатив к математике и как следствие фобия. </w:t>
            </w:r>
          </w:p>
          <w:p w:rsidR="00D82CCB" w:rsidRDefault="00D82CCB" w:rsidP="00D82CCB">
            <w:pPr>
              <w:pStyle w:val="a4"/>
              <w:ind w:left="360"/>
              <w:jc w:val="both"/>
            </w:pPr>
          </w:p>
          <w:p w:rsidR="00C33CD6" w:rsidRDefault="00C33CD6" w:rsidP="00C33CD6">
            <w:pPr>
              <w:pStyle w:val="a4"/>
              <w:numPr>
                <w:ilvl w:val="0"/>
                <w:numId w:val="1"/>
              </w:numPr>
              <w:ind w:left="0" w:firstLine="360"/>
              <w:jc w:val="both"/>
            </w:pPr>
            <w:r w:rsidRPr="00D82CCB">
              <w:rPr>
                <w:b/>
                <w:color w:val="C00000"/>
              </w:rPr>
              <w:t>Неспособность полностью обрабатывать информацию с помощью зрительного анализатора.</w:t>
            </w:r>
            <w:r>
              <w:t xml:space="preserve"> В такой ситуации дети не могут визуально представить условие задачи, как следствие, неправильное решение. Параллельно с этим страдает правописание, наблюдаются проблемы с почерком. </w:t>
            </w:r>
          </w:p>
          <w:p w:rsidR="00C33CD6" w:rsidRDefault="00C33CD6" w:rsidP="00C33CD6">
            <w:pPr>
              <w:jc w:val="both"/>
            </w:pPr>
          </w:p>
          <w:p w:rsidR="00D82CCB" w:rsidRDefault="00C33CD6" w:rsidP="00D82CCB">
            <w:pPr>
              <w:pStyle w:val="a4"/>
              <w:numPr>
                <w:ilvl w:val="0"/>
                <w:numId w:val="1"/>
              </w:numPr>
              <w:ind w:left="0" w:firstLine="426"/>
              <w:jc w:val="both"/>
            </w:pPr>
            <w:r w:rsidRPr="00D82CCB">
              <w:rPr>
                <w:b/>
                <w:color w:val="C00000"/>
              </w:rPr>
              <w:t>Неправильная постановка последовательных действий.</w:t>
            </w:r>
            <w:r>
              <w:t xml:space="preserve"> Дети не могут запомнить факты или применить правильно математические формулы. Такие нарушения ведут к нарушениям чтения и правописания. </w:t>
            </w:r>
          </w:p>
          <w:p w:rsidR="00D82CCB" w:rsidRDefault="00D82CCB" w:rsidP="00D82CCB">
            <w:pPr>
              <w:pStyle w:val="a4"/>
              <w:ind w:left="426"/>
              <w:jc w:val="both"/>
            </w:pPr>
          </w:p>
          <w:p w:rsidR="00D82CCB" w:rsidRDefault="00C33CD6" w:rsidP="00D82CCB">
            <w:pPr>
              <w:pStyle w:val="a4"/>
              <w:numPr>
                <w:ilvl w:val="0"/>
                <w:numId w:val="1"/>
              </w:numPr>
              <w:ind w:left="0" w:firstLine="426"/>
              <w:jc w:val="both"/>
            </w:pPr>
            <w:r w:rsidRPr="00D82CCB">
              <w:rPr>
                <w:b/>
                <w:color w:val="C00000"/>
              </w:rPr>
              <w:t>Нарушение речевого развития у ребенка.</w:t>
            </w:r>
            <w:r>
              <w:t xml:space="preserve"> Неправильная речь является основным фактором проявление </w:t>
            </w:r>
            <w:proofErr w:type="spellStart"/>
            <w:r>
              <w:t>дискалькулии</w:t>
            </w:r>
            <w:proofErr w:type="spellEnd"/>
            <w:r>
              <w:t xml:space="preserve"> в детском возрасте. Поэтому </w:t>
            </w:r>
            <w:r>
              <w:lastRenderedPageBreak/>
              <w:t xml:space="preserve">необходимо на ранних стадиях обнаружить проблемы и помочь ребенку. </w:t>
            </w:r>
          </w:p>
          <w:p w:rsidR="00D82CCB" w:rsidRDefault="00D82CCB" w:rsidP="00D82CCB">
            <w:pPr>
              <w:jc w:val="both"/>
            </w:pPr>
          </w:p>
          <w:p w:rsidR="00C33CD6" w:rsidRPr="00F70027" w:rsidRDefault="00C33CD6" w:rsidP="00F70027">
            <w:pPr>
              <w:jc w:val="center"/>
              <w:rPr>
                <w:b/>
                <w:bCs/>
                <w:i/>
                <w:iCs/>
                <w:color w:val="000099"/>
                <w:sz w:val="28"/>
              </w:rPr>
            </w:pPr>
            <w:r w:rsidRPr="00F70027">
              <w:rPr>
                <w:b/>
                <w:bCs/>
                <w:i/>
                <w:iCs/>
                <w:color w:val="000099"/>
                <w:sz w:val="28"/>
              </w:rPr>
              <w:t xml:space="preserve">Классификация   </w:t>
            </w:r>
            <w:proofErr w:type="spellStart"/>
            <w:r w:rsidRPr="00F70027">
              <w:rPr>
                <w:b/>
                <w:bCs/>
                <w:i/>
                <w:iCs/>
                <w:color w:val="000099"/>
                <w:sz w:val="28"/>
              </w:rPr>
              <w:t>дискалькулии</w:t>
            </w:r>
            <w:proofErr w:type="spellEnd"/>
          </w:p>
          <w:p w:rsidR="00D82CCB" w:rsidRPr="00F70027" w:rsidRDefault="00D82CCB" w:rsidP="00C33CD6">
            <w:pPr>
              <w:jc w:val="center"/>
              <w:rPr>
                <w:b/>
                <w:color w:val="000099"/>
                <w:sz w:val="28"/>
              </w:rPr>
            </w:pPr>
          </w:p>
          <w:p w:rsidR="00C33CD6" w:rsidRDefault="00C33CD6" w:rsidP="00D82CCB">
            <w:pPr>
              <w:jc w:val="both"/>
              <w:rPr>
                <w:bCs/>
              </w:rPr>
            </w:pPr>
            <w:proofErr w:type="spellStart"/>
            <w:r w:rsidRPr="00D82CCB">
              <w:rPr>
                <w:b/>
                <w:bCs/>
                <w:color w:val="FF0000"/>
              </w:rPr>
              <w:t>Практогностическая</w:t>
            </w:r>
            <w:proofErr w:type="spellEnd"/>
            <w:r w:rsidRPr="00D82CCB">
              <w:rPr>
                <w:b/>
                <w:bCs/>
                <w:color w:val="FF0000"/>
              </w:rPr>
              <w:t xml:space="preserve"> </w:t>
            </w:r>
            <w:r w:rsidRPr="00C33CD6">
              <w:rPr>
                <w:bCs/>
              </w:rPr>
              <w:t xml:space="preserve">   -     невозможность сосчитать  предметы  или  их  обозначения.</w:t>
            </w:r>
          </w:p>
          <w:p w:rsidR="00C33CD6" w:rsidRPr="00C33CD6" w:rsidRDefault="00C33CD6" w:rsidP="00D82CCB">
            <w:pPr>
              <w:jc w:val="both"/>
            </w:pPr>
          </w:p>
          <w:p w:rsidR="00C33CD6" w:rsidRDefault="00C33CD6" w:rsidP="00D82CCB">
            <w:pPr>
              <w:jc w:val="both"/>
              <w:rPr>
                <w:bCs/>
              </w:rPr>
            </w:pPr>
            <w:r w:rsidRPr="00D82CCB">
              <w:rPr>
                <w:b/>
                <w:bCs/>
                <w:color w:val="FF0000"/>
              </w:rPr>
              <w:t xml:space="preserve">Графическая </w:t>
            </w:r>
            <w:r w:rsidRPr="00C33CD6">
              <w:rPr>
                <w:bCs/>
              </w:rPr>
              <w:t>– сложности при записи цифр и математических символов, затруднение или полная невозможность воспроизвести геометрические фигуры.</w:t>
            </w:r>
          </w:p>
          <w:p w:rsidR="00C33CD6" w:rsidRPr="00C33CD6" w:rsidRDefault="00C33CD6" w:rsidP="00D82CCB">
            <w:pPr>
              <w:jc w:val="both"/>
            </w:pPr>
          </w:p>
          <w:p w:rsidR="00C33CD6" w:rsidRDefault="00C33CD6" w:rsidP="00D82CCB">
            <w:pPr>
              <w:jc w:val="both"/>
              <w:rPr>
                <w:bCs/>
              </w:rPr>
            </w:pPr>
            <w:proofErr w:type="gramStart"/>
            <w:r w:rsidRPr="00D82CCB">
              <w:rPr>
                <w:b/>
                <w:bCs/>
                <w:color w:val="FF0000"/>
              </w:rPr>
              <w:t>Вербальная</w:t>
            </w:r>
            <w:proofErr w:type="gramEnd"/>
            <w:r w:rsidRPr="00D82CCB">
              <w:rPr>
                <w:b/>
                <w:bCs/>
                <w:color w:val="FF0000"/>
              </w:rPr>
              <w:t xml:space="preserve"> </w:t>
            </w:r>
            <w:r w:rsidRPr="00C33CD6">
              <w:rPr>
                <w:bCs/>
              </w:rPr>
              <w:t>– затруднения при необходимости назвать математические действия, понятия.</w:t>
            </w:r>
          </w:p>
          <w:p w:rsidR="00C33CD6" w:rsidRPr="00C33CD6" w:rsidRDefault="00C33CD6" w:rsidP="00D82CCB">
            <w:pPr>
              <w:jc w:val="both"/>
            </w:pPr>
          </w:p>
          <w:p w:rsidR="00C33CD6" w:rsidRDefault="00C33CD6" w:rsidP="00D82CCB">
            <w:pPr>
              <w:jc w:val="both"/>
              <w:rPr>
                <w:bCs/>
              </w:rPr>
            </w:pPr>
            <w:proofErr w:type="spellStart"/>
            <w:r w:rsidRPr="00D82CCB">
              <w:rPr>
                <w:b/>
                <w:bCs/>
                <w:color w:val="FF0000"/>
              </w:rPr>
              <w:t>Дислексическая</w:t>
            </w:r>
            <w:proofErr w:type="spellEnd"/>
            <w:r w:rsidRPr="00D82CCB">
              <w:rPr>
                <w:b/>
                <w:bCs/>
                <w:color w:val="FF0000"/>
              </w:rPr>
              <w:t xml:space="preserve"> </w:t>
            </w:r>
            <w:r w:rsidRPr="00C33CD6">
              <w:rPr>
                <w:bCs/>
              </w:rPr>
              <w:t>– нарушение чтения математических символов.</w:t>
            </w:r>
          </w:p>
          <w:p w:rsidR="00C33CD6" w:rsidRPr="00C33CD6" w:rsidRDefault="00C33CD6" w:rsidP="00D82CCB">
            <w:pPr>
              <w:jc w:val="both"/>
            </w:pPr>
          </w:p>
          <w:p w:rsidR="00C33CD6" w:rsidRPr="00C33CD6" w:rsidRDefault="00C33CD6" w:rsidP="00D82CCB">
            <w:pPr>
              <w:jc w:val="both"/>
            </w:pPr>
            <w:proofErr w:type="spellStart"/>
            <w:r w:rsidRPr="00D82CCB">
              <w:rPr>
                <w:b/>
                <w:bCs/>
                <w:color w:val="FF0000"/>
              </w:rPr>
              <w:t>Операциональная</w:t>
            </w:r>
            <w:proofErr w:type="spellEnd"/>
            <w:r w:rsidRPr="00D82CCB">
              <w:rPr>
                <w:b/>
                <w:bCs/>
                <w:color w:val="FF0000"/>
              </w:rPr>
              <w:t xml:space="preserve">  </w:t>
            </w:r>
            <w:r w:rsidRPr="00C33CD6">
              <w:rPr>
                <w:bCs/>
              </w:rPr>
              <w:t xml:space="preserve">  –     невозможность выполнять   арифметические   действия.</w:t>
            </w:r>
          </w:p>
          <w:p w:rsidR="00C33CD6" w:rsidRDefault="00C33CD6" w:rsidP="00C33CD6"/>
          <w:p w:rsidR="00D82CCB" w:rsidRDefault="00D82CCB" w:rsidP="00D82CCB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98761" cy="883522"/>
                  <wp:effectExtent l="19050" t="0" r="0" b="0"/>
                  <wp:docPr id="5" name="Рисунок 4" descr="activiti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ctivities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8121" cy="896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82CCB" w:rsidRDefault="00D82CCB" w:rsidP="00D82CCB">
            <w:pPr>
              <w:jc w:val="center"/>
            </w:pPr>
          </w:p>
          <w:p w:rsidR="00D82CCB" w:rsidRDefault="00D82CCB" w:rsidP="00CE6A2B">
            <w:pPr>
              <w:jc w:val="center"/>
              <w:rPr>
                <w:b/>
                <w:color w:val="000099"/>
                <w:sz w:val="28"/>
              </w:rPr>
            </w:pPr>
            <w:r w:rsidRPr="00D82CCB">
              <w:rPr>
                <w:b/>
                <w:color w:val="000099"/>
                <w:sz w:val="28"/>
              </w:rPr>
              <w:t xml:space="preserve">Коррекция </w:t>
            </w:r>
            <w:proofErr w:type="spellStart"/>
            <w:r w:rsidRPr="00D82CCB">
              <w:rPr>
                <w:b/>
                <w:color w:val="000099"/>
                <w:sz w:val="28"/>
              </w:rPr>
              <w:t>дискалькулии</w:t>
            </w:r>
            <w:proofErr w:type="spellEnd"/>
            <w:r w:rsidRPr="00D82CCB">
              <w:rPr>
                <w:b/>
                <w:color w:val="000099"/>
                <w:sz w:val="28"/>
              </w:rPr>
              <w:t>.</w:t>
            </w:r>
          </w:p>
          <w:p w:rsidR="00CE6A2B" w:rsidRDefault="00CE6A2B" w:rsidP="00CE6A2B">
            <w:pPr>
              <w:jc w:val="center"/>
              <w:rPr>
                <w:b/>
                <w:color w:val="000099"/>
                <w:sz w:val="28"/>
              </w:rPr>
            </w:pPr>
          </w:p>
          <w:p w:rsidR="00F70027" w:rsidRPr="00CE6A2B" w:rsidRDefault="00D0698C" w:rsidP="00CE6A2B">
            <w:pPr>
              <w:pStyle w:val="a4"/>
              <w:numPr>
                <w:ilvl w:val="0"/>
                <w:numId w:val="2"/>
              </w:numPr>
              <w:ind w:hanging="686"/>
              <w:jc w:val="both"/>
              <w:rPr>
                <w:b/>
                <w:color w:val="FF0000"/>
              </w:rPr>
            </w:pPr>
            <w:r w:rsidRPr="00D0698C">
              <w:rPr>
                <w:b/>
                <w:color w:val="FF0000"/>
              </w:rPr>
              <w:t xml:space="preserve">Развитие пальцевого восприятия. </w:t>
            </w:r>
          </w:p>
          <w:p w:rsidR="00D0698C" w:rsidRPr="00D0698C" w:rsidRDefault="00D0698C" w:rsidP="00D0698C">
            <w:pPr>
              <w:jc w:val="both"/>
              <w:rPr>
                <w:i/>
              </w:rPr>
            </w:pPr>
            <w:r w:rsidRPr="00D0698C">
              <w:rPr>
                <w:i/>
              </w:rPr>
              <w:t xml:space="preserve">С самых ранних лет необходимо проводить устный счет на пальцах. Ребенку дается задание посчитать свои пальчики. Если малыш развивается хорошо, то для него это не составит труда. </w:t>
            </w:r>
            <w:proofErr w:type="gramStart"/>
            <w:r w:rsidRPr="00D0698C">
              <w:rPr>
                <w:i/>
              </w:rPr>
              <w:t>Страдающий</w:t>
            </w:r>
            <w:proofErr w:type="gramEnd"/>
            <w:r w:rsidRPr="00D0698C">
              <w:rPr>
                <w:i/>
              </w:rPr>
              <w:t xml:space="preserve"> </w:t>
            </w:r>
            <w:proofErr w:type="spellStart"/>
            <w:r w:rsidRPr="00D0698C">
              <w:rPr>
                <w:i/>
              </w:rPr>
              <w:t>дискалькулией</w:t>
            </w:r>
            <w:proofErr w:type="spellEnd"/>
            <w:r w:rsidRPr="00D0698C">
              <w:rPr>
                <w:i/>
              </w:rPr>
              <w:t xml:space="preserve"> путается в своих пальцах, не может провести аналогию с пальцами учителя. </w:t>
            </w:r>
          </w:p>
          <w:p w:rsidR="00D0698C" w:rsidRDefault="00D0698C" w:rsidP="00D0698C">
            <w:pPr>
              <w:jc w:val="both"/>
            </w:pPr>
            <w:r>
              <w:lastRenderedPageBreak/>
              <w:t xml:space="preserve">Направления развития пальцевого восприятия: </w:t>
            </w:r>
          </w:p>
          <w:p w:rsidR="00D0698C" w:rsidRDefault="00D0698C" w:rsidP="00D0698C">
            <w:pPr>
              <w:jc w:val="both"/>
            </w:pPr>
            <w:r>
              <w:t>· подражание с помощью рук и пальцев;</w:t>
            </w:r>
          </w:p>
          <w:p w:rsidR="00D0698C" w:rsidRDefault="00D0698C" w:rsidP="00D0698C">
            <w:pPr>
              <w:jc w:val="both"/>
            </w:pPr>
            <w:r>
              <w:t>· развитие динамики и координации движений с помощью игр и считалок («Ладушки», «Сорока», «Как пьет птичка» и так далее)</w:t>
            </w:r>
            <w:proofErr w:type="gramStart"/>
            <w:r>
              <w:t xml:space="preserve"> ;</w:t>
            </w:r>
            <w:proofErr w:type="gramEnd"/>
          </w:p>
          <w:p w:rsidR="00D82CCB" w:rsidRDefault="00D0698C" w:rsidP="00D0698C">
            <w:pPr>
              <w:jc w:val="both"/>
            </w:pPr>
            <w:r>
              <w:t>· пересчёт пальцев — прямой и обратный счет, с пропуском цифры;</w:t>
            </w:r>
          </w:p>
          <w:p w:rsidR="00D0698C" w:rsidRPr="00D0698C" w:rsidRDefault="00D0698C" w:rsidP="00D0698C">
            <w:pPr>
              <w:jc w:val="both"/>
              <w:rPr>
                <w:sz w:val="16"/>
                <w:szCs w:val="16"/>
              </w:rPr>
            </w:pPr>
          </w:p>
          <w:p w:rsidR="00D82CCB" w:rsidRDefault="00D0698C" w:rsidP="00D82CCB">
            <w:pPr>
              <w:jc w:val="center"/>
            </w:pPr>
            <w:r w:rsidRPr="00D0698C">
              <w:drawing>
                <wp:inline distT="0" distB="0" distL="0" distR="0">
                  <wp:extent cx="1406338" cy="808541"/>
                  <wp:effectExtent l="19050" t="0" r="3362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19" name="Рисунок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lc="http://schemas.openxmlformats.org/drawingml/2006/locked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3714" cy="818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lc="http://schemas.openxmlformats.org/drawingml/2006/lockedCanvas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lc="http://schemas.openxmlformats.org/drawingml/2006/lockedCanvas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0698C" w:rsidRDefault="00D0698C" w:rsidP="00D82CCB">
            <w:pPr>
              <w:jc w:val="center"/>
            </w:pPr>
          </w:p>
          <w:p w:rsidR="00D0698C" w:rsidRDefault="00D0698C" w:rsidP="00D0698C">
            <w:pPr>
              <w:jc w:val="both"/>
              <w:rPr>
                <w:b/>
                <w:color w:val="FF0000"/>
              </w:rPr>
            </w:pPr>
            <w:r w:rsidRPr="00D0698C">
              <w:rPr>
                <w:b/>
                <w:color w:val="FF0000"/>
              </w:rPr>
              <w:t xml:space="preserve">Б.   Развитие зрительного восприятия: </w:t>
            </w:r>
          </w:p>
          <w:p w:rsidR="00D0698C" w:rsidRPr="00D0698C" w:rsidRDefault="00D0698C" w:rsidP="00D0698C">
            <w:pPr>
              <w:jc w:val="both"/>
              <w:rPr>
                <w:b/>
                <w:color w:val="FF0000"/>
              </w:rPr>
            </w:pPr>
          </w:p>
          <w:p w:rsidR="00D0698C" w:rsidRDefault="00D0698C" w:rsidP="00D0698C">
            <w:pPr>
              <w:jc w:val="both"/>
            </w:pPr>
            <w:r>
              <w:t>· нахождение геометрических фигур;</w:t>
            </w:r>
          </w:p>
          <w:p w:rsidR="00D0698C" w:rsidRDefault="00D0698C" w:rsidP="00D0698C">
            <w:pPr>
              <w:jc w:val="both"/>
            </w:pPr>
            <w:r>
              <w:t xml:space="preserve">· сбор </w:t>
            </w:r>
            <w:proofErr w:type="spellStart"/>
            <w:r>
              <w:t>пазлов</w:t>
            </w:r>
            <w:proofErr w:type="spellEnd"/>
            <w:r>
              <w:t>;</w:t>
            </w:r>
          </w:p>
          <w:p w:rsidR="00D0698C" w:rsidRDefault="00D0698C" w:rsidP="00D0698C">
            <w:pPr>
              <w:jc w:val="both"/>
            </w:pPr>
            <w:r>
              <w:t>· классификация фигур по нескольким признакам;</w:t>
            </w:r>
          </w:p>
          <w:p w:rsidR="00D0698C" w:rsidRDefault="00D0698C" w:rsidP="00D0698C">
            <w:pPr>
              <w:jc w:val="both"/>
            </w:pPr>
            <w:r>
              <w:t>· ориентирование в пространстве с использованием слова;</w:t>
            </w:r>
          </w:p>
          <w:p w:rsidR="00D0698C" w:rsidRDefault="00D0698C" w:rsidP="00D0698C">
            <w:pPr>
              <w:jc w:val="both"/>
            </w:pPr>
            <w:r>
              <w:t>· имитация различных действий;</w:t>
            </w:r>
          </w:p>
          <w:p w:rsidR="00D0698C" w:rsidRDefault="00D0698C" w:rsidP="00D0698C">
            <w:pPr>
              <w:jc w:val="both"/>
            </w:pPr>
            <w:r>
              <w:t>· работа с рисунками: найди лишнего, дорисуй картинку, пройди по лабиринту;</w:t>
            </w:r>
          </w:p>
          <w:p w:rsidR="00D0698C" w:rsidRDefault="00D0698C" w:rsidP="00D0698C">
            <w:pPr>
              <w:jc w:val="both"/>
            </w:pPr>
            <w:r>
              <w:t xml:space="preserve">· передача образа на лист бумаги по словесной инструкции. </w:t>
            </w:r>
          </w:p>
          <w:p w:rsidR="007702FA" w:rsidRDefault="007702FA" w:rsidP="00D0698C">
            <w:pPr>
              <w:jc w:val="both"/>
            </w:pPr>
          </w:p>
          <w:p w:rsidR="00D0698C" w:rsidRDefault="00D0698C" w:rsidP="00D82CCB">
            <w:pPr>
              <w:jc w:val="center"/>
            </w:pPr>
            <w:r w:rsidRPr="00D0698C">
              <w:drawing>
                <wp:inline distT="0" distB="0" distL="0" distR="0">
                  <wp:extent cx="1137397" cy="941294"/>
                  <wp:effectExtent l="19050" t="0" r="5603" b="0"/>
                  <wp:docPr id="6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lc="http://schemas.openxmlformats.org/drawingml/2006/locked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444" cy="937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 xmlns:lc="http://schemas.openxmlformats.org/drawingml/2006/lockedCanvas" xmlns="">
                                <a:solidFill>
                                  <a:schemeClr val="bg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lc="http://schemas.openxmlformats.org/drawingml/2006/lockedCanvas" xmlns="" w="9525" algn="ctr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 xmlns:lc="http://schemas.openxmlformats.org/drawingml/2006/lockedCanvas" xmlns="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 w:rsidRPr="00D0698C">
              <w:drawing>
                <wp:inline distT="0" distB="0" distL="0" distR="0">
                  <wp:extent cx="1271868" cy="940103"/>
                  <wp:effectExtent l="19050" t="0" r="4482" b="0"/>
                  <wp:docPr id="7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lc="http://schemas.openxmlformats.org/drawingml/2006/lockedCanvas" xmlns="" val="0"/>
                              </a:ext>
                            </a:extLst>
                          </a:blip>
                          <a:srcRect l="15956" t="23502" r="28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091" cy="936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 xmlns:lc="http://schemas.openxmlformats.org/drawingml/2006/lockedCanvas" xmlns="">
                                <a:solidFill>
                                  <a:schemeClr val="bg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lc="http://schemas.openxmlformats.org/drawingml/2006/lockedCanvas" xmlns="" w="9525" algn="ctr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 xmlns:lc="http://schemas.openxmlformats.org/drawingml/2006/lockedCanvas" xmlns="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E6A2B" w:rsidRDefault="00CE6A2B" w:rsidP="00CE6A2B"/>
          <w:p w:rsidR="007702FA" w:rsidRDefault="00D0698C" w:rsidP="00D0698C">
            <w:pPr>
              <w:jc w:val="both"/>
              <w:rPr>
                <w:b/>
                <w:color w:val="FF0000"/>
              </w:rPr>
            </w:pPr>
            <w:r w:rsidRPr="00D0698C">
              <w:rPr>
                <w:b/>
                <w:color w:val="FF0000"/>
              </w:rPr>
              <w:t>В.  Развитие последовательных функций.</w:t>
            </w:r>
          </w:p>
          <w:p w:rsidR="00CE6A2B" w:rsidRPr="00CE6A2B" w:rsidRDefault="00D0698C" w:rsidP="00D0698C">
            <w:pPr>
              <w:jc w:val="both"/>
              <w:rPr>
                <w:b/>
                <w:color w:val="FF0000"/>
              </w:rPr>
            </w:pPr>
            <w:r w:rsidRPr="00D0698C">
              <w:rPr>
                <w:b/>
                <w:color w:val="FF0000"/>
              </w:rPr>
              <w:t xml:space="preserve"> </w:t>
            </w:r>
          </w:p>
          <w:p w:rsidR="00D0698C" w:rsidRDefault="00D0698C" w:rsidP="00D0698C">
            <w:pPr>
              <w:jc w:val="both"/>
            </w:pPr>
            <w:r>
              <w:t>· Зрительное восприятие;</w:t>
            </w:r>
          </w:p>
          <w:p w:rsidR="00D0698C" w:rsidRDefault="00D0698C" w:rsidP="00D0698C">
            <w:pPr>
              <w:jc w:val="both"/>
            </w:pPr>
            <w:r>
              <w:t>· Образное восприятие;</w:t>
            </w:r>
          </w:p>
          <w:p w:rsidR="00D0698C" w:rsidRDefault="00D0698C" w:rsidP="00D0698C">
            <w:pPr>
              <w:jc w:val="both"/>
            </w:pPr>
            <w:r>
              <w:t>· Умение классифицировать предметы;</w:t>
            </w:r>
          </w:p>
          <w:p w:rsidR="00D0698C" w:rsidRDefault="00D0698C" w:rsidP="00D0698C">
            <w:pPr>
              <w:jc w:val="both"/>
            </w:pPr>
            <w:r>
              <w:lastRenderedPageBreak/>
              <w:t xml:space="preserve">· Речеслуховое восприятие – выполнение заданий воспринимающихся на слух, повторение и имитация различных звуков. </w:t>
            </w:r>
          </w:p>
          <w:p w:rsidR="007702FA" w:rsidRDefault="007702FA" w:rsidP="00D0698C">
            <w:pPr>
              <w:jc w:val="both"/>
            </w:pPr>
          </w:p>
          <w:p w:rsidR="007702FA" w:rsidRDefault="007702FA" w:rsidP="00D0698C">
            <w:pPr>
              <w:jc w:val="both"/>
            </w:pPr>
            <w:r w:rsidRPr="007702FA">
              <w:drawing>
                <wp:inline distT="0" distB="0" distL="0" distR="0">
                  <wp:extent cx="1256084" cy="1090714"/>
                  <wp:effectExtent l="57150" t="57150" r="58366" b="52286"/>
                  <wp:docPr id="17" name="Рисунок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lc="http://schemas.openxmlformats.org/drawingml/2006/locked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031" cy="1094141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FF0066"/>
                            </a:solidFill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 xmlns:lc="http://schemas.openxmlformats.org/drawingml/2006/lockedCanvas" xmlns="">
                                <a:solidFill>
                                  <a:schemeClr val="bg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lc="http://schemas.openxmlformats.org/drawingml/2006/lockedCanvas" xmlns="" w="9525" algn="ctr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 xmlns:lc="http://schemas.openxmlformats.org/drawingml/2006/lockedCanvas" xmlns="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 w:rsidRPr="007702FA">
              <w:drawing>
                <wp:inline distT="0" distB="0" distL="0" distR="0">
                  <wp:extent cx="1313005" cy="1147329"/>
                  <wp:effectExtent l="57150" t="38100" r="39545" b="14721"/>
                  <wp:docPr id="18" name="Рисунок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lc="http://schemas.openxmlformats.org/drawingml/2006/locked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5201" cy="1149248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0000CC"/>
                            </a:solidFill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 xmlns:lc="http://schemas.openxmlformats.org/drawingml/2006/lockedCanvas" xmlns="">
                                <a:solidFill>
                                  <a:schemeClr val="bg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lc="http://schemas.openxmlformats.org/drawingml/2006/lockedCanvas" xmlns="" w="9525" algn="ctr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 xmlns:lc="http://schemas.openxmlformats.org/drawingml/2006/lockedCanvas" xmlns="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702FA" w:rsidRDefault="007702FA" w:rsidP="00D0698C">
            <w:pPr>
              <w:jc w:val="both"/>
            </w:pPr>
          </w:p>
          <w:p w:rsidR="00C7066C" w:rsidRDefault="00C7066C" w:rsidP="00C7066C">
            <w:pPr>
              <w:jc w:val="both"/>
              <w:rPr>
                <w:b/>
                <w:color w:val="FF0000"/>
              </w:rPr>
            </w:pPr>
            <w:r w:rsidRPr="00C7066C">
              <w:rPr>
                <w:b/>
                <w:color w:val="FF0000"/>
              </w:rPr>
              <w:t xml:space="preserve">Г. Игровые упражнения для развития познавательных функций: </w:t>
            </w:r>
          </w:p>
          <w:p w:rsidR="007702FA" w:rsidRPr="00C7066C" w:rsidRDefault="007702FA" w:rsidP="00C7066C">
            <w:pPr>
              <w:jc w:val="both"/>
              <w:rPr>
                <w:b/>
                <w:color w:val="FF0000"/>
              </w:rPr>
            </w:pPr>
          </w:p>
          <w:p w:rsidR="00C7066C" w:rsidRDefault="00C7066C" w:rsidP="00C7066C">
            <w:pPr>
              <w:jc w:val="both"/>
            </w:pPr>
            <w:r>
              <w:t>«Дорисуй рисунок», «Сложи рисунок из трех фигур», «Подбери размер и форму», «Сделай, так как я», «Проведи зарядку», «Напой мелодию», «Расставь правильно числа в ряд», «Найди ошибку в ряде чисел».</w:t>
            </w:r>
          </w:p>
          <w:p w:rsidR="00C7066C" w:rsidRDefault="00C7066C" w:rsidP="00C7066C">
            <w:pPr>
              <w:jc w:val="both"/>
            </w:pPr>
            <w:r>
              <w:t xml:space="preserve"> </w:t>
            </w:r>
          </w:p>
          <w:p w:rsidR="00C7066C" w:rsidRDefault="00C7066C" w:rsidP="00C7066C">
            <w:pPr>
              <w:jc w:val="center"/>
            </w:pPr>
            <w:r w:rsidRPr="00C7066C">
              <w:drawing>
                <wp:inline distT="0" distB="0" distL="0" distR="0">
                  <wp:extent cx="1035760" cy="1137397"/>
                  <wp:effectExtent l="19050" t="19050" r="11990" b="24653"/>
                  <wp:docPr id="15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lc="http://schemas.openxmlformats.org/drawingml/2006/locked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705" cy="1149416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0000CC"/>
                            </a:solidFill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 xmlns:lc="http://schemas.openxmlformats.org/drawingml/2006/lockedCanvas" xmlns="">
                                <a:solidFill>
                                  <a:schemeClr val="bg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lc="http://schemas.openxmlformats.org/drawingml/2006/lockedCanvas" xmlns="" w="9525" algn="ctr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 xmlns:lc="http://schemas.openxmlformats.org/drawingml/2006/lockedCanvas" xmlns="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</w:t>
            </w:r>
            <w:r w:rsidRPr="00C7066C">
              <w:drawing>
                <wp:inline distT="0" distB="0" distL="0" distR="0">
                  <wp:extent cx="1052298" cy="1064559"/>
                  <wp:effectExtent l="57150" t="38100" r="33552" b="21291"/>
                  <wp:docPr id="16" name="Рисунок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lc="http://schemas.openxmlformats.org/drawingml/2006/locked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255" cy="1062492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0066"/>
                            </a:solidFill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 xmlns:lc="http://schemas.openxmlformats.org/drawingml/2006/lockedCanvas" xmlns="">
                                <a:solidFill>
                                  <a:schemeClr val="bg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lc="http://schemas.openxmlformats.org/drawingml/2006/lockedCanvas" xmlns="" w="9525" algn="ctr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 xmlns:lc="http://schemas.openxmlformats.org/drawingml/2006/lockedCanvas" xmlns="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7066C" w:rsidRDefault="00C7066C" w:rsidP="00D82CCB">
            <w:pPr>
              <w:jc w:val="center"/>
              <w:rPr>
                <w:b/>
                <w:color w:val="0000CC"/>
                <w:sz w:val="22"/>
              </w:rPr>
            </w:pPr>
          </w:p>
          <w:p w:rsidR="007702FA" w:rsidRPr="007702FA" w:rsidRDefault="007702FA" w:rsidP="007702FA">
            <w:pPr>
              <w:jc w:val="both"/>
              <w:rPr>
                <w:b/>
                <w:color w:val="0000CC"/>
              </w:rPr>
            </w:pPr>
            <w:r w:rsidRPr="007702FA">
              <w:rPr>
                <w:b/>
                <w:color w:val="0000CC"/>
              </w:rPr>
              <w:t xml:space="preserve">Способы развития количественных представлений при диагнозе </w:t>
            </w:r>
            <w:proofErr w:type="spellStart"/>
            <w:r w:rsidRPr="007702FA">
              <w:rPr>
                <w:b/>
                <w:color w:val="0000CC"/>
              </w:rPr>
              <w:t>дискалькулия</w:t>
            </w:r>
            <w:proofErr w:type="spellEnd"/>
            <w:r w:rsidRPr="007702FA">
              <w:rPr>
                <w:b/>
                <w:color w:val="0000CC"/>
              </w:rPr>
              <w:t xml:space="preserve"> могут быть представлены следующим образом. </w:t>
            </w:r>
          </w:p>
          <w:p w:rsidR="007702FA" w:rsidRDefault="007702FA" w:rsidP="007702FA">
            <w:pPr>
              <w:jc w:val="both"/>
            </w:pPr>
          </w:p>
          <w:p w:rsidR="007702FA" w:rsidRDefault="007702FA" w:rsidP="007702FA">
            <w:pPr>
              <w:jc w:val="both"/>
            </w:pPr>
            <w:r>
              <w:t xml:space="preserve">· Научить </w:t>
            </w:r>
            <w:proofErr w:type="gramStart"/>
            <w:r>
              <w:t>автоматически</w:t>
            </w:r>
            <w:proofErr w:type="gramEnd"/>
            <w:r>
              <w:t xml:space="preserve"> воспринимать на глаз предметы в количестве пяти штук. Они могут быть изображены на рисунке или являться натуральными объектами. Главное, чтобы они имел разную расцветку и форму. </w:t>
            </w:r>
          </w:p>
          <w:p w:rsidR="007702FA" w:rsidRDefault="007702FA" w:rsidP="007702FA">
            <w:pPr>
              <w:jc w:val="both"/>
            </w:pPr>
            <w:r>
              <w:t xml:space="preserve">· Учиться сравнивать предметы по их количеству, где больше, равно или меньше, </w:t>
            </w:r>
            <w:r>
              <w:lastRenderedPageBreak/>
              <w:t xml:space="preserve">по форме, цвету. Главное все действия проговаривать вслух. </w:t>
            </w:r>
          </w:p>
          <w:p w:rsidR="00F70027" w:rsidRPr="007702FA" w:rsidRDefault="007702FA" w:rsidP="00CE6A2B">
            <w:pPr>
              <w:jc w:val="center"/>
            </w:pPr>
            <w:r>
              <w:t>· Учиться измерять предметы с помощью линейки, весов, проводить сравнение между соб</w:t>
            </w:r>
            <w:r w:rsidR="00CE6A2B">
              <w:t>ой, определять размеры на глаз</w:t>
            </w:r>
            <w:r w:rsidR="00F70027" w:rsidRPr="00F70027">
              <w:drawing>
                <wp:inline distT="0" distB="0" distL="0" distR="0">
                  <wp:extent cx="1112298" cy="2017058"/>
                  <wp:effectExtent l="476250" t="0" r="449802" b="0"/>
                  <wp:docPr id="22" name="Рисунок 4" descr="http://cs625618.vk.me/v625618890/6089/wTjdkrU_N_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cs625618.vk.me/v625618890/6089/wTjdkrU_N_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l="8638" t="2999" r="4331" b="2755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122764" cy="20360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02FA" w:rsidRPr="00F70027" w:rsidRDefault="007702FA" w:rsidP="00F70027">
            <w:pPr>
              <w:jc w:val="center"/>
              <w:rPr>
                <w:b/>
                <w:color w:val="0000CC"/>
              </w:rPr>
            </w:pPr>
            <w:r w:rsidRPr="00F70027">
              <w:rPr>
                <w:b/>
                <w:color w:val="0000CC"/>
              </w:rPr>
              <w:t>Для устранения математических трудностей ребенку можно предложить следующий алгоритм действий.</w:t>
            </w:r>
          </w:p>
          <w:p w:rsidR="007702FA" w:rsidRPr="00F70027" w:rsidRDefault="007702FA" w:rsidP="007702FA">
            <w:pPr>
              <w:jc w:val="both"/>
              <w:rPr>
                <w:b/>
                <w:color w:val="0000CC"/>
              </w:rPr>
            </w:pPr>
          </w:p>
          <w:p w:rsidR="007702FA" w:rsidRPr="00F70027" w:rsidRDefault="007702FA" w:rsidP="00F70027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b/>
                <w:color w:val="C00000"/>
              </w:rPr>
            </w:pPr>
            <w:r w:rsidRPr="00F70027">
              <w:rPr>
                <w:b/>
                <w:color w:val="C00000"/>
              </w:rPr>
              <w:t xml:space="preserve">Как можно лучше мысленно представить задачу. Можно нарисовать рисунок с конкретными действиями и предметами. </w:t>
            </w:r>
          </w:p>
          <w:p w:rsidR="007702FA" w:rsidRPr="00F70027" w:rsidRDefault="007702FA" w:rsidP="00F70027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b/>
                <w:color w:val="C00000"/>
              </w:rPr>
            </w:pPr>
            <w:r w:rsidRPr="00F70027">
              <w:rPr>
                <w:b/>
                <w:color w:val="C00000"/>
              </w:rPr>
              <w:t xml:space="preserve">Внимательно рассмотреть всю визуальную информацию, которую несет задача. </w:t>
            </w:r>
          </w:p>
          <w:p w:rsidR="007702FA" w:rsidRPr="00F70027" w:rsidRDefault="007702FA" w:rsidP="00F70027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b/>
                <w:color w:val="C00000"/>
              </w:rPr>
            </w:pPr>
            <w:r w:rsidRPr="00F70027">
              <w:rPr>
                <w:b/>
                <w:color w:val="C00000"/>
              </w:rPr>
              <w:t xml:space="preserve">Вслух прочитать задачу и внимательно вдуматься в условие. </w:t>
            </w:r>
          </w:p>
          <w:p w:rsidR="007702FA" w:rsidRPr="00F70027" w:rsidRDefault="007702FA" w:rsidP="00F70027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b/>
                <w:color w:val="C00000"/>
              </w:rPr>
            </w:pPr>
            <w:r w:rsidRPr="00F70027">
              <w:rPr>
                <w:b/>
                <w:color w:val="C00000"/>
              </w:rPr>
              <w:t xml:space="preserve">Можно попросить образец решения. </w:t>
            </w:r>
          </w:p>
          <w:p w:rsidR="007702FA" w:rsidRPr="00F70027" w:rsidRDefault="007702FA" w:rsidP="00F70027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b/>
                <w:color w:val="C00000"/>
              </w:rPr>
            </w:pPr>
            <w:r w:rsidRPr="00F70027">
              <w:rPr>
                <w:b/>
                <w:color w:val="C00000"/>
              </w:rPr>
              <w:t xml:space="preserve">Провести аналогию с жизненной ситуацией, где можно применить те же действия, что и в задаче. </w:t>
            </w:r>
          </w:p>
          <w:p w:rsidR="007702FA" w:rsidRPr="00F70027" w:rsidRDefault="007702FA" w:rsidP="00F70027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b/>
                <w:color w:val="C00000"/>
              </w:rPr>
            </w:pPr>
            <w:r w:rsidRPr="00F70027">
              <w:rPr>
                <w:b/>
                <w:color w:val="C00000"/>
              </w:rPr>
              <w:t xml:space="preserve">Больше времени нужно уделять заучиванию формул, правил. </w:t>
            </w:r>
          </w:p>
          <w:p w:rsidR="00F70027" w:rsidRDefault="00F70027" w:rsidP="00CE6A2B">
            <w:pPr>
              <w:rPr>
                <w:b/>
                <w:color w:val="0000CC"/>
                <w:sz w:val="22"/>
              </w:rPr>
            </w:pPr>
          </w:p>
          <w:p w:rsidR="00F70027" w:rsidRDefault="00F70027" w:rsidP="007702FA">
            <w:pPr>
              <w:jc w:val="center"/>
              <w:rPr>
                <w:b/>
                <w:color w:val="0000CC"/>
                <w:sz w:val="22"/>
              </w:rPr>
            </w:pPr>
            <w:r>
              <w:rPr>
                <w:b/>
                <w:color w:val="0000CC"/>
                <w:sz w:val="22"/>
              </w:rPr>
              <w:t xml:space="preserve">Удачи и успехов в профилактике </w:t>
            </w:r>
          </w:p>
          <w:p w:rsidR="00F70027" w:rsidRDefault="00F70027" w:rsidP="007702FA">
            <w:pPr>
              <w:jc w:val="center"/>
              <w:rPr>
                <w:b/>
                <w:color w:val="0000CC"/>
                <w:sz w:val="22"/>
              </w:rPr>
            </w:pPr>
            <w:r>
              <w:rPr>
                <w:b/>
                <w:color w:val="0000CC"/>
                <w:sz w:val="22"/>
              </w:rPr>
              <w:t xml:space="preserve">и коррекции </w:t>
            </w:r>
            <w:proofErr w:type="spellStart"/>
            <w:r>
              <w:rPr>
                <w:b/>
                <w:color w:val="0000CC"/>
                <w:sz w:val="22"/>
              </w:rPr>
              <w:t>дискалькулии</w:t>
            </w:r>
            <w:proofErr w:type="spellEnd"/>
            <w:r>
              <w:rPr>
                <w:b/>
                <w:color w:val="0000CC"/>
                <w:sz w:val="22"/>
              </w:rPr>
              <w:t xml:space="preserve"> у младших школьников!</w:t>
            </w:r>
          </w:p>
          <w:p w:rsidR="00D0698C" w:rsidRDefault="00D0698C" w:rsidP="00CE6A2B">
            <w:pPr>
              <w:jc w:val="center"/>
              <w:rPr>
                <w:b/>
                <w:color w:val="0000CC"/>
                <w:sz w:val="22"/>
              </w:rPr>
            </w:pPr>
            <w:r w:rsidRPr="00D0698C">
              <w:rPr>
                <w:b/>
                <w:color w:val="0000CC"/>
                <w:sz w:val="22"/>
              </w:rPr>
              <w:lastRenderedPageBreak/>
              <w:t>К</w:t>
            </w:r>
            <w:proofErr w:type="gramStart"/>
            <w:r w:rsidRPr="00D0698C">
              <w:rPr>
                <w:b/>
                <w:color w:val="0000CC"/>
                <w:sz w:val="22"/>
              </w:rPr>
              <w:t>С(</w:t>
            </w:r>
            <w:proofErr w:type="gramEnd"/>
            <w:r w:rsidRPr="00D0698C">
              <w:rPr>
                <w:b/>
                <w:color w:val="0000CC"/>
                <w:sz w:val="22"/>
              </w:rPr>
              <w:t>К)ОУ «</w:t>
            </w:r>
            <w:proofErr w:type="spellStart"/>
            <w:r w:rsidRPr="00D0698C">
              <w:rPr>
                <w:b/>
                <w:color w:val="0000CC"/>
                <w:sz w:val="22"/>
              </w:rPr>
              <w:t>Чебоксарская</w:t>
            </w:r>
            <w:proofErr w:type="spellEnd"/>
            <w:r w:rsidRPr="00D0698C">
              <w:rPr>
                <w:b/>
                <w:color w:val="0000CC"/>
                <w:sz w:val="22"/>
              </w:rPr>
              <w:t xml:space="preserve"> специальная (коррекционная) начальная школа – детский сад №2» Министерства образования ЧР</w:t>
            </w:r>
          </w:p>
          <w:p w:rsidR="00D0698C" w:rsidRDefault="00D0698C" w:rsidP="00D82CCB">
            <w:pPr>
              <w:jc w:val="center"/>
              <w:rPr>
                <w:b/>
                <w:color w:val="0000CC"/>
                <w:sz w:val="22"/>
              </w:rPr>
            </w:pPr>
          </w:p>
          <w:p w:rsidR="00D0698C" w:rsidRDefault="00D0698C" w:rsidP="00D82CCB">
            <w:pPr>
              <w:jc w:val="center"/>
              <w:rPr>
                <w:b/>
                <w:color w:val="0000CC"/>
                <w:sz w:val="22"/>
              </w:rPr>
            </w:pPr>
          </w:p>
          <w:p w:rsidR="00D0698C" w:rsidRDefault="00D0698C" w:rsidP="00D82CCB">
            <w:pPr>
              <w:jc w:val="center"/>
              <w:rPr>
                <w:b/>
                <w:color w:val="0000CC"/>
                <w:sz w:val="22"/>
              </w:rPr>
            </w:pPr>
          </w:p>
          <w:p w:rsidR="00C7066C" w:rsidRDefault="00C7066C" w:rsidP="00D82CCB">
            <w:pPr>
              <w:jc w:val="center"/>
              <w:rPr>
                <w:b/>
                <w:color w:val="0000CC"/>
                <w:sz w:val="22"/>
              </w:rPr>
            </w:pPr>
          </w:p>
          <w:p w:rsidR="00C7066C" w:rsidRDefault="00D0698C" w:rsidP="00D82CCB">
            <w:pPr>
              <w:jc w:val="center"/>
              <w:rPr>
                <w:b/>
                <w:color w:val="FF0066"/>
                <w:sz w:val="36"/>
              </w:rPr>
            </w:pPr>
            <w:proofErr w:type="spellStart"/>
            <w:r w:rsidRPr="00C7066C">
              <w:rPr>
                <w:b/>
                <w:color w:val="FF0066"/>
                <w:sz w:val="36"/>
              </w:rPr>
              <w:t>Дискалькулия</w:t>
            </w:r>
            <w:proofErr w:type="spellEnd"/>
            <w:r w:rsidRPr="00C7066C">
              <w:rPr>
                <w:b/>
                <w:color w:val="FF0066"/>
                <w:sz w:val="36"/>
              </w:rPr>
              <w:t xml:space="preserve"> </w:t>
            </w:r>
          </w:p>
          <w:p w:rsidR="00C7066C" w:rsidRDefault="00D0698C" w:rsidP="00D82CCB">
            <w:pPr>
              <w:jc w:val="center"/>
              <w:rPr>
                <w:b/>
                <w:color w:val="FF0066"/>
                <w:sz w:val="36"/>
              </w:rPr>
            </w:pPr>
            <w:r w:rsidRPr="00C7066C">
              <w:rPr>
                <w:b/>
                <w:color w:val="FF0066"/>
                <w:sz w:val="36"/>
              </w:rPr>
              <w:t xml:space="preserve">у младших </w:t>
            </w:r>
          </w:p>
          <w:p w:rsidR="00D0698C" w:rsidRPr="00C7066C" w:rsidRDefault="00D0698C" w:rsidP="00D82CCB">
            <w:pPr>
              <w:jc w:val="center"/>
              <w:rPr>
                <w:b/>
                <w:color w:val="FF0066"/>
                <w:sz w:val="36"/>
              </w:rPr>
            </w:pPr>
            <w:r w:rsidRPr="00C7066C">
              <w:rPr>
                <w:b/>
                <w:color w:val="FF0066"/>
                <w:sz w:val="36"/>
              </w:rPr>
              <w:t>школьников</w:t>
            </w:r>
          </w:p>
          <w:p w:rsidR="00C7066C" w:rsidRDefault="00C7066C" w:rsidP="00D82CCB">
            <w:pPr>
              <w:jc w:val="center"/>
              <w:rPr>
                <w:b/>
                <w:color w:val="FF0066"/>
                <w:sz w:val="32"/>
              </w:rPr>
            </w:pPr>
          </w:p>
          <w:p w:rsidR="00C7066C" w:rsidRDefault="00C7066C" w:rsidP="00D82CCB">
            <w:pPr>
              <w:jc w:val="center"/>
              <w:rPr>
                <w:b/>
                <w:color w:val="FF0066"/>
                <w:sz w:val="32"/>
              </w:rPr>
            </w:pPr>
          </w:p>
          <w:p w:rsidR="00C7066C" w:rsidRDefault="00C7066C" w:rsidP="00D82CCB">
            <w:pPr>
              <w:jc w:val="center"/>
              <w:rPr>
                <w:b/>
                <w:color w:val="FF0066"/>
                <w:sz w:val="32"/>
              </w:rPr>
            </w:pPr>
          </w:p>
          <w:p w:rsidR="00F70027" w:rsidRDefault="00C7066C" w:rsidP="00C7066C">
            <w:pPr>
              <w:jc w:val="center"/>
              <w:rPr>
                <w:b/>
                <w:color w:val="FF0066"/>
                <w:sz w:val="32"/>
              </w:rPr>
            </w:pPr>
            <w:r>
              <w:rPr>
                <w:b/>
                <w:noProof/>
                <w:color w:val="FF0066"/>
                <w:sz w:val="32"/>
                <w:lang w:eastAsia="ru-RU"/>
              </w:rPr>
              <w:drawing>
                <wp:inline distT="0" distB="0" distL="0" distR="0">
                  <wp:extent cx="554477" cy="554477"/>
                  <wp:effectExtent l="0" t="0" r="0" b="0"/>
                  <wp:docPr id="12" name="Рисунок 11" descr="zfOY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fOYC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832" cy="5548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0066"/>
                <w:sz w:val="32"/>
              </w:rPr>
              <w:t xml:space="preserve">       </w:t>
            </w:r>
            <w:r>
              <w:rPr>
                <w:b/>
                <w:noProof/>
                <w:color w:val="FF0066"/>
                <w:sz w:val="32"/>
                <w:lang w:eastAsia="ru-RU"/>
              </w:rPr>
              <w:drawing>
                <wp:inline distT="0" distB="0" distL="0" distR="0">
                  <wp:extent cx="554476" cy="554476"/>
                  <wp:effectExtent l="0" t="0" r="0" b="0"/>
                  <wp:docPr id="13" name="Рисунок 12" descr="0_16_3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_16_350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831" cy="5548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0066"/>
                <w:sz w:val="32"/>
              </w:rPr>
              <w:t xml:space="preserve">      </w:t>
            </w:r>
            <w:r>
              <w:rPr>
                <w:b/>
                <w:noProof/>
                <w:color w:val="FF0066"/>
                <w:sz w:val="32"/>
                <w:lang w:eastAsia="ru-RU"/>
              </w:rPr>
              <w:drawing>
                <wp:inline distT="0" distB="0" distL="0" distR="0">
                  <wp:extent cx="612843" cy="612843"/>
                  <wp:effectExtent l="0" t="0" r="0" b="0"/>
                  <wp:docPr id="14" name="Рисунок 13" descr="5_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_14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 rot="857919">
                            <a:off x="0" y="0"/>
                            <a:ext cx="613235" cy="613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0698C" w:rsidRPr="00C7066C" w:rsidRDefault="00D0698C" w:rsidP="00C7066C">
            <w:pPr>
              <w:jc w:val="center"/>
              <w:rPr>
                <w:b/>
                <w:color w:val="FF0066"/>
                <w:sz w:val="32"/>
              </w:rPr>
            </w:pPr>
            <w:r>
              <w:rPr>
                <w:b/>
                <w:noProof/>
                <w:color w:val="FF0066"/>
                <w:lang w:eastAsia="ru-RU"/>
              </w:rPr>
              <w:t xml:space="preserve"> </w:t>
            </w:r>
            <w:r>
              <w:rPr>
                <w:b/>
                <w:noProof/>
                <w:color w:val="FF0066"/>
                <w:lang w:eastAsia="ru-RU"/>
              </w:rPr>
              <w:drawing>
                <wp:inline distT="0" distB="0" distL="0" distR="0">
                  <wp:extent cx="505839" cy="505839"/>
                  <wp:effectExtent l="0" t="0" r="0" b="0"/>
                  <wp:docPr id="9" name="Рисунок 8" descr="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163" cy="506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color w:val="FF0066"/>
                <w:lang w:eastAsia="ru-RU"/>
              </w:rPr>
              <w:t xml:space="preserve"> </w:t>
            </w:r>
            <w:r>
              <w:rPr>
                <w:b/>
                <w:noProof/>
                <w:color w:val="FF0066"/>
                <w:lang w:eastAsia="ru-RU"/>
              </w:rPr>
              <w:drawing>
                <wp:inline distT="0" distB="0" distL="0" distR="0">
                  <wp:extent cx="1689859" cy="1099226"/>
                  <wp:effectExtent l="19050" t="0" r="5591" b="0"/>
                  <wp:docPr id="10" name="Рисунок 9" descr="42986a2c5b00fcb2fdaedb4f36b8fe7c_X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2986a2c5b00fcb2fdaedb4f36b8fe7c_XL.jp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330" cy="1102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color w:val="FF0066"/>
                <w:lang w:eastAsia="ru-RU"/>
              </w:rPr>
              <w:drawing>
                <wp:inline distT="0" distB="0" distL="0" distR="0">
                  <wp:extent cx="488834" cy="488834"/>
                  <wp:effectExtent l="19050" t="0" r="6466" b="0"/>
                  <wp:docPr id="11" name="Рисунок 10" descr="116128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612823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 rot="1963509">
                            <a:off x="0" y="0"/>
                            <a:ext cx="489147" cy="489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0698C" w:rsidRPr="00F70027" w:rsidRDefault="00D0698C" w:rsidP="00D82CCB">
            <w:pPr>
              <w:jc w:val="center"/>
              <w:rPr>
                <w:b/>
                <w:color w:val="FF0066"/>
                <w:sz w:val="16"/>
                <w:szCs w:val="16"/>
              </w:rPr>
            </w:pPr>
          </w:p>
          <w:p w:rsidR="00C7066C" w:rsidRDefault="00C7066C" w:rsidP="00D82CCB">
            <w:pPr>
              <w:jc w:val="center"/>
              <w:rPr>
                <w:b/>
                <w:color w:val="FF0066"/>
              </w:rPr>
            </w:pPr>
            <w:r>
              <w:rPr>
                <w:b/>
                <w:color w:val="FF0066"/>
              </w:rPr>
              <w:t xml:space="preserve"> </w:t>
            </w:r>
          </w:p>
          <w:p w:rsidR="00CE6A2B" w:rsidRDefault="00CE6A2B" w:rsidP="00F70027">
            <w:pPr>
              <w:rPr>
                <w:b/>
                <w:color w:val="FF0066"/>
              </w:rPr>
            </w:pPr>
          </w:p>
          <w:p w:rsidR="00CE6A2B" w:rsidRDefault="00CE6A2B" w:rsidP="00F70027">
            <w:pPr>
              <w:rPr>
                <w:b/>
                <w:color w:val="FF0066"/>
              </w:rPr>
            </w:pPr>
          </w:p>
          <w:p w:rsidR="00CE6A2B" w:rsidRDefault="00CE6A2B" w:rsidP="00F70027">
            <w:pPr>
              <w:rPr>
                <w:b/>
                <w:color w:val="FF0066"/>
              </w:rPr>
            </w:pPr>
          </w:p>
          <w:p w:rsidR="00F70027" w:rsidRDefault="00F70027" w:rsidP="00F70027">
            <w:pPr>
              <w:rPr>
                <w:b/>
                <w:color w:val="FF0066"/>
              </w:rPr>
            </w:pPr>
          </w:p>
          <w:p w:rsidR="00C7066C" w:rsidRPr="00C7066C" w:rsidRDefault="00C7066C" w:rsidP="00C7066C">
            <w:pPr>
              <w:jc w:val="right"/>
              <w:rPr>
                <w:b/>
                <w:color w:val="800080"/>
                <w:sz w:val="28"/>
              </w:rPr>
            </w:pPr>
            <w:r w:rsidRPr="00C7066C">
              <w:rPr>
                <w:b/>
                <w:color w:val="800080"/>
                <w:sz w:val="28"/>
              </w:rPr>
              <w:t xml:space="preserve">Материал составила </w:t>
            </w:r>
          </w:p>
          <w:p w:rsidR="00C7066C" w:rsidRPr="00C7066C" w:rsidRDefault="00C7066C" w:rsidP="00C7066C">
            <w:pPr>
              <w:jc w:val="right"/>
              <w:rPr>
                <w:b/>
                <w:color w:val="800080"/>
                <w:sz w:val="28"/>
              </w:rPr>
            </w:pPr>
            <w:r w:rsidRPr="00C7066C">
              <w:rPr>
                <w:b/>
                <w:color w:val="800080"/>
                <w:sz w:val="28"/>
              </w:rPr>
              <w:t>учитель-логопед</w:t>
            </w:r>
          </w:p>
          <w:p w:rsidR="00C7066C" w:rsidRPr="00C7066C" w:rsidRDefault="00C7066C" w:rsidP="00C7066C">
            <w:pPr>
              <w:jc w:val="right"/>
              <w:rPr>
                <w:b/>
                <w:color w:val="800080"/>
                <w:sz w:val="28"/>
              </w:rPr>
            </w:pPr>
            <w:r w:rsidRPr="00C7066C">
              <w:rPr>
                <w:b/>
                <w:color w:val="800080"/>
                <w:sz w:val="28"/>
              </w:rPr>
              <w:t xml:space="preserve">высшей </w:t>
            </w:r>
          </w:p>
          <w:p w:rsidR="00C7066C" w:rsidRPr="00C7066C" w:rsidRDefault="00C7066C" w:rsidP="00C7066C">
            <w:pPr>
              <w:jc w:val="right"/>
              <w:rPr>
                <w:b/>
                <w:color w:val="800080"/>
                <w:sz w:val="28"/>
              </w:rPr>
            </w:pPr>
            <w:r w:rsidRPr="00C7066C">
              <w:rPr>
                <w:b/>
                <w:color w:val="800080"/>
                <w:sz w:val="28"/>
              </w:rPr>
              <w:t>квалификационной</w:t>
            </w:r>
          </w:p>
          <w:p w:rsidR="00C7066C" w:rsidRPr="00C7066C" w:rsidRDefault="005A5270" w:rsidP="00C7066C">
            <w:pPr>
              <w:jc w:val="right"/>
              <w:rPr>
                <w:b/>
                <w:color w:val="800080"/>
                <w:sz w:val="28"/>
              </w:rPr>
            </w:pPr>
            <w:r>
              <w:rPr>
                <w:b/>
                <w:color w:val="800080"/>
                <w:sz w:val="28"/>
              </w:rPr>
              <w:t>к</w:t>
            </w:r>
            <w:r w:rsidR="00C7066C" w:rsidRPr="00C7066C">
              <w:rPr>
                <w:b/>
                <w:color w:val="800080"/>
                <w:sz w:val="28"/>
              </w:rPr>
              <w:t>атегории</w:t>
            </w:r>
          </w:p>
          <w:p w:rsidR="00C7066C" w:rsidRPr="00C7066C" w:rsidRDefault="00C7066C" w:rsidP="00C7066C">
            <w:pPr>
              <w:jc w:val="right"/>
              <w:rPr>
                <w:b/>
                <w:color w:val="800080"/>
              </w:rPr>
            </w:pPr>
            <w:r w:rsidRPr="00C7066C">
              <w:rPr>
                <w:b/>
                <w:color w:val="800080"/>
                <w:sz w:val="28"/>
              </w:rPr>
              <w:t>Иванова Венера Ивановна</w:t>
            </w:r>
          </w:p>
          <w:p w:rsidR="00C7066C" w:rsidRDefault="00C7066C" w:rsidP="00D82CCB">
            <w:pPr>
              <w:jc w:val="center"/>
              <w:rPr>
                <w:b/>
                <w:color w:val="FF0066"/>
              </w:rPr>
            </w:pPr>
          </w:p>
          <w:p w:rsidR="00C7066C" w:rsidRDefault="00C7066C" w:rsidP="00C7066C">
            <w:pPr>
              <w:rPr>
                <w:b/>
                <w:color w:val="FF0066"/>
              </w:rPr>
            </w:pPr>
          </w:p>
          <w:p w:rsidR="00C7066C" w:rsidRPr="00D0698C" w:rsidRDefault="00C7066C" w:rsidP="00D82CCB">
            <w:pPr>
              <w:jc w:val="center"/>
              <w:rPr>
                <w:b/>
                <w:color w:val="FF0066"/>
              </w:rPr>
            </w:pPr>
            <w:r>
              <w:rPr>
                <w:b/>
                <w:color w:val="FF0066"/>
              </w:rPr>
              <w:t>Чебоксары, 2015 г.</w:t>
            </w:r>
          </w:p>
        </w:tc>
      </w:tr>
    </w:tbl>
    <w:p w:rsidR="00D82CCB" w:rsidRDefault="00D82CCB"/>
    <w:sectPr w:rsidR="00D82CCB" w:rsidSect="00D82CCB">
      <w:pgSz w:w="16838" w:h="11906" w:orient="landscape"/>
      <w:pgMar w:top="284" w:right="720" w:bottom="284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66E21"/>
    <w:multiLevelType w:val="hybridMultilevel"/>
    <w:tmpl w:val="5F420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62128"/>
    <w:multiLevelType w:val="hybridMultilevel"/>
    <w:tmpl w:val="DBE69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8D470B"/>
    <w:multiLevelType w:val="hybridMultilevel"/>
    <w:tmpl w:val="0178B6F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1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33CD6"/>
    <w:rsid w:val="002E57DC"/>
    <w:rsid w:val="005A5270"/>
    <w:rsid w:val="00633D51"/>
    <w:rsid w:val="007343D4"/>
    <w:rsid w:val="007647C3"/>
    <w:rsid w:val="007702FA"/>
    <w:rsid w:val="00965B15"/>
    <w:rsid w:val="009B316A"/>
    <w:rsid w:val="00C06979"/>
    <w:rsid w:val="00C33CD6"/>
    <w:rsid w:val="00C61CF4"/>
    <w:rsid w:val="00C7066C"/>
    <w:rsid w:val="00CE6A2B"/>
    <w:rsid w:val="00D0698C"/>
    <w:rsid w:val="00D82CCB"/>
    <w:rsid w:val="00ED6269"/>
    <w:rsid w:val="00F70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9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3CD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33CD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82C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2C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2015-11-04T09:27:00Z</cp:lastPrinted>
  <dcterms:created xsi:type="dcterms:W3CDTF">2015-11-03T15:36:00Z</dcterms:created>
  <dcterms:modified xsi:type="dcterms:W3CDTF">2015-11-04T09:42:00Z</dcterms:modified>
</cp:coreProperties>
</file>