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48" w:rsidRDefault="00571C48" w:rsidP="0057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46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638175"/>
            <wp:effectExtent l="19050" t="0" r="9525" b="0"/>
            <wp:docPr id="1" name="Рисунок 1" descr="C:\Users\К\Desktop\Ёлочка\ёлочка -эмблема\елочка_таблич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\Desktop\Ёлочка\ёлочка -эмблема\елочка_табличка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C48" w:rsidRDefault="00571C48" w:rsidP="0057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 дошкольное образовательное учреждение</w:t>
      </w:r>
    </w:p>
    <w:p w:rsidR="00571C48" w:rsidRDefault="00571C48" w:rsidP="0057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 «Ёлочка» общеразвивающего вида</w:t>
      </w:r>
    </w:p>
    <w:p w:rsidR="00571C48" w:rsidRDefault="00571C48" w:rsidP="0057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приоритетным осуществлением </w:t>
      </w:r>
    </w:p>
    <w:p w:rsidR="00571C48" w:rsidRDefault="00571C48" w:rsidP="00571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художественно-эстетического развития воспитанников</w:t>
      </w:r>
    </w:p>
    <w:p w:rsidR="00571C48" w:rsidRDefault="00571C48" w:rsidP="00D625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</w:pPr>
    </w:p>
    <w:p w:rsidR="009D1574" w:rsidRDefault="00D6256A" w:rsidP="00B10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</w:pPr>
      <w:r w:rsidRPr="00D6256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ПАМЯТКА</w:t>
      </w:r>
    </w:p>
    <w:p w:rsidR="009D1574" w:rsidRPr="00D6256A" w:rsidRDefault="009D1574" w:rsidP="009D1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«</w:t>
      </w:r>
      <w:proofErr w:type="spellStart"/>
      <w:r w:rsidRPr="00D6256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Антикоррупционный</w:t>
      </w:r>
      <w:proofErr w:type="spellEnd"/>
      <w:r w:rsidRPr="00D6256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запрет</w:t>
      </w:r>
    </w:p>
    <w:p w:rsidR="009D1574" w:rsidRPr="00D6256A" w:rsidRDefault="009D1574" w:rsidP="009D1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6256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на получение отдельными категориями лиц подарков и иных</w:t>
      </w:r>
    </w:p>
    <w:p w:rsidR="009D1574" w:rsidRPr="00D6256A" w:rsidRDefault="009D1574" w:rsidP="009D1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6256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вознаграждений в связи с выполнением служебных</w:t>
      </w:r>
    </w:p>
    <w:p w:rsidR="009D1574" w:rsidRPr="00D6256A" w:rsidRDefault="009D1574" w:rsidP="009D1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6256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(должностных) обязанностей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»</w:t>
      </w:r>
    </w:p>
    <w:p w:rsidR="000C14E0" w:rsidRPr="00D6256A" w:rsidRDefault="000C14E0" w:rsidP="00B1011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Настоящая памятка разъясняет основные обязанности, связанные с соблюдением </w:t>
      </w:r>
      <w:proofErr w:type="spell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ант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коррупционного</w:t>
      </w:r>
      <w:proofErr w:type="spell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запрета на получение отдельными категориями лиц подарков и иных вознагр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ждений в связи с выполнением служе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б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ных (должностных) обязанностей.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Предназначена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для государственных и муниципальных служащих, лиц, замещающих г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сударственные и муниципальные должности и иных лиц.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 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НОРМАТИВНАЯ ПРАВОВАЯ БАЗА</w:t>
      </w:r>
    </w:p>
    <w:p w:rsidR="000C14E0" w:rsidRPr="00B10119" w:rsidRDefault="000C14E0" w:rsidP="00B1011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Гражданский кодекс Российской Федерации (далее – ГК РФ)</w:t>
      </w:r>
    </w:p>
    <w:p w:rsidR="000C14E0" w:rsidRPr="00B10119" w:rsidRDefault="000C14E0" w:rsidP="00B1011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Трудовой кодекс Российской Федерации</w:t>
      </w:r>
    </w:p>
    <w:p w:rsidR="000C14E0" w:rsidRPr="00B10119" w:rsidRDefault="000C14E0" w:rsidP="00B101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Федеральный закон от 25.12.2008 № 273-ФЗ «О противодействии коррупции» (далее – Федеральный закон «О противодействии коррупции»)</w:t>
      </w:r>
    </w:p>
    <w:p w:rsidR="000C14E0" w:rsidRPr="00B10119" w:rsidRDefault="000C14E0" w:rsidP="00B101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Федеральный закон от 27.07.2004 № 79-ФЗ «О государственной гражданской службе Ро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сийской Федерации» (далее – Федеральный закон «О государственной гражданской слу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бе Российской Федерации»)</w:t>
      </w:r>
    </w:p>
    <w:p w:rsidR="000C14E0" w:rsidRPr="00B10119" w:rsidRDefault="000C14E0" w:rsidP="00B101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Федеральный закон от 02.03.2007 № 25-ФЗ «О муниципальной службе в Российской Ф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дерации»</w:t>
      </w:r>
    </w:p>
    <w:p w:rsidR="000C14E0" w:rsidRPr="00B10119" w:rsidRDefault="000C14E0" w:rsidP="00B101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Постановление Правительства Российской Федерации от 09.01.2014 № 10 «О порядке 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общения отдельными категориями лиц о получении подарка в связи с протокольными м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9D1574" w:rsidRPr="00B10119" w:rsidRDefault="000C14E0" w:rsidP="00B101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Распоряжение Президента Российской Федерации от 29.05.2015 № 159-рп «О порядке уведомления лицами, замещающими отдельные гос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ной власти) субъектов Российской Федерации о получении подарка в связи с протокол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ь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ными мероприятиями, служебными командировками и другими официальными мер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приятиями, участие в которых связано с исполнением служебных (должностных) обяза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ностей, сдачи, опред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ления стоимости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подарка и его реализации (выкупа)»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 </w:t>
      </w:r>
    </w:p>
    <w:p w:rsidR="009D1574" w:rsidRPr="00B10119" w:rsidRDefault="009D1574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</w:pPr>
    </w:p>
    <w:p w:rsidR="000C14E0" w:rsidRPr="00B10119" w:rsidRDefault="000C14E0" w:rsidP="00B10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ОСНОВНЫЕ ПОНЯТИЯ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 настоящей памятке под «подарком» понимаются безвозмездно переданные в собстве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ность вещи, денежные и иные вознаграждения, ссуды, предоставление услуг, оплата развлеч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ний, отдыха, транспортных расходов.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lastRenderedPageBreak/>
        <w:t>Подарок, полученный в связи с протокольными мероприятиями, служебными к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мандировками и другими официальными мероприятиями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подарок, полученный лицом, з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мещающим государственную (муниципальную) должность, служащим, работником от физич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лярских принадлежностей, которые в рамках протокольных мероприятий, служебных команд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ровок и других официальных мероприятий предоставлены каждому участнику указанных мер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приятий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в целях исполнения им своих служебных (должностных) обязанностей, цветов и це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ных подарков, которые вручены в качестве поощрения (награды).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Получение подарка в связи с протокольными мероприятиями, служебными кома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дировками и другими официальными мероприятиями, участие в которых связано с испо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л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нением служебных (должностных) обязанностей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получение лицом, замещающим государс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венную (муниципальную) должность, служащим, работником лично или через посредника от ф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б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ных (должностных) обязанностей в случаях, устано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ленных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федеральными законами и иными нормативными актами, определяющими особенности правового положения и специфику профе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сиональной служебной и трудовой деятельности указанных лиц.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По 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договору дарения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одна сторона (даритель) безвозмездно передает или обязуется пер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дать другой стороне (одаряемому) вещь в собственность либо имущественное пр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во (требование) к себе или к третьему лицу либо 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вобождает или обязуется освободить ее от имущественной обязанности п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ред собой или перед третьим лицом.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При наличии встречной передачи вещи или права либо встречного обязательства договор не пр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знается дарением (статья 572 ГК РФ).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Подарком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признается не только какая-то вещь, но и имущественное право или освобо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дение от имущественной обязанности. Главными признаками подарка являются безвозмездность и переход в собственность одаряемого. Подарок предлагается без ожидания аналогичных отве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ных действий или соответствующей платы со стороны одаряемого. Вместе с </w:t>
      </w: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тем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когда у одаря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мого возникает обязанность в обмен на подарок выполнить определенные действия, связанные со служебным положением получателя, подарок м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жет расцениваться как взятка. К категории таких подарков относятся и п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дарочные карты с денежным номиналом, так как они фактически предста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ляют собой в некоторой степени завуалированную передачу наличных денег.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 xml:space="preserve">Признаком дарения служит </w:t>
      </w:r>
      <w:proofErr w:type="gramStart"/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отсутствие</w:t>
      </w:r>
      <w:proofErr w:type="gramEnd"/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 xml:space="preserve"> какого бы то ни было встречного удовлетв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рения.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 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ЗАПРЕЩЕНИЕ ДАРЕНИЯ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Статья 575 Гражданского кодекса Российской Федерации: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Не допускается дарение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, за исключением обычных подарков, стоимость которых не пр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вышает трех тысяч рублей: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работникам образовательных организаций, медицинских организаций, организаций, оказыва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ю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держании или воспитании, супругами и родственниками этих граждан;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 в связи с их должностным положением или в связи с 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полнением ими сл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жебных обязанностей.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Запрет на дарение лицам, замещающим государственные должности Российской Федерации, г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сударственные должности субъектов Российской Федерации, муниципальные должности, гос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дарственным служащим, муниципальным служащим, установленный пунктом 1 настоящей ст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тьи,          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не распространяется на случаи дарения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 связи с протокольными мероприяти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я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ми, служебными командировками и другими официальными мероприятиями. </w:t>
      </w: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Подарки, которые п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lastRenderedPageBreak/>
        <w:t>лучены лицами, замещающими государственные должности Российской Федерации, государс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венные должности субъектов Российской Федерации, муниципальные должности, государстве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ными служ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щими, муниципальными служащими, и стоимость которых превышает три тысячи рублей, признаются соответственно федеральной собственностью, собственностью субъекта Ро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сийской Федерации или муниципальной собственностью и передаются служащим по акту в 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ган, в котором указанное 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цо замещает должность.</w:t>
      </w:r>
      <w:proofErr w:type="gramEnd"/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Подпункт 7 пункта 3 статьи 12.1 Федерального закона «О противодействии корру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п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ции»: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Лица, замещающие государственные должности Российской Федерации, для которых федерал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ь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ными конституционными законами или федеральными законами не установлено иное, лица, з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мещающие государственные должности субъектов Российской Федерации, муниципальные должности и осуществляющие свои полномочия на постоянной осн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ве, 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не вправе получать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 связи с выполнением служебных (должностных) обязанностей не предусмотренные законод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тельством Российской Федерации вознаграждения (ссуды, денежное и иное вознаграждение, 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луги, оплату развлечений, отдыха, транспортных расходов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) и подарки от физических и юридич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ских лиц.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 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Статья 13.3. Федерального закона «О противодействии коррупции»:</w:t>
      </w:r>
    </w:p>
    <w:p w:rsidR="000C14E0" w:rsidRPr="00B10119" w:rsidRDefault="000C14E0" w:rsidP="00B1011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Организации обязаны разрабатывать и принимать меры по предупреждению ко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рупции.</w:t>
      </w:r>
    </w:p>
    <w:p w:rsidR="000C14E0" w:rsidRPr="00B10119" w:rsidRDefault="000C14E0" w:rsidP="00B1011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Меры по предупреждению коррупции, принимаемые в организации, могут вкл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ю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чать: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1) определение подразделений или должностных лиц, ответственных за профилактику корру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ционных и иных правонарушений;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2) сотрудничество организации с правоохранительными органами;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3) 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разработку и внедрение в практику стандартов и процедур, направленных на обеспеч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ние добросовестной работы организации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4) принятие кодекса этики и служебного поведения работников организации;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5) предотвращение и урегулирование конфликта интересов;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6) недопущение составления неофициальной отчетности и использования поддельных докуме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тов.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Подпункт 6 пункта 1 статьи 17 Федерального закона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«О государственной гражданской службе Российской Федерации»: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 связи с прохождением гражданской службы гражданскому служащему 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запрещается пол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у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чать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 связи с исполнением должностных обязанностей вознаграждения от физических и юр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дических лиц (подарки, денежное вознаграждение, ссуды, услуги, оплату ра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з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влечений, отдыха, транспортных расходов и иные вознаграждения).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Подпункт 5 пункта 1 статьи 14 Федерального закона от 02.03.2007 № 25-ФЗ «О муниц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пальной службе в Российской Федерации»: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 связи с прохождением муниципальной службы муниципальному служащ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му 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запрещается получать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 связи с должностным положением или в связи с исполнением должностных обязанностей вознаграждения от физических и юридических лиц (подарки, дене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ное вознаграждение, ссуды, усл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ги, оплату развлечений, отдыха, транспортных расходов и иные вознагра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дения).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При выяснении вопроса о наличии связи подарка с должностным положением или испо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нением служебных (должностных) обязанностей необходимо принимать во внимание взаимоо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ношения одаряемого с дарителем и обстоятельства вручения подарка.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Должностному лицу следует избегать получения (отказываться от получения) подарков от по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чиненных, представителей поднадзорных (подко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трольных) органов и организаций, участников судопроизводства либо иного порядка рассмотрения дел, в которых оно принимает или прин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мало участие, граждан, обращения которых оно рассматривает или рассматривало, либо их пре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ставителей.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lastRenderedPageBreak/>
        <w:t>При обнаружении должностным лицом подарка, оставленного для него одним из таких лиц на его рабочем месте, 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рекомендуется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принять меры для возвращения подарка оставившему его лицу, а в случае невозможности его возврата (например, в связи с отсу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ствием контактных данных лица, оставившего подарок) незамедлительно письменно уведомить об этом подраздел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ние (должностное лицо) органа или организации, ответственное за профилактику коррупцио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ных и иных правонарушений, одновременно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сдав подарок в уполномоченное подразделение. Дальнейшая судьба такого подарка должна решаться комиссией органа или организации, при этом возврат так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го подарка должностному лицу и его выкуп в названном случае невозможны.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Получение подарков родственниками должностного лица, на которого ра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пространяется запрет, от лиц, заинтересованных в использовании им своего служебного положения и статуса для пр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доставления таким лицам необоснованных преимуществ, также может быть вызвано желанием дарителя обойти существующие нормативные ограничения и п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влиять на действия и решения должностного лица.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Поскольку получение подарка в связи с исполнением служебных (должностных) обяза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ностей является коррупционным правонарушением, настойчивые неоднократные предложения принять подарок, исходящие от лица, заинтересованного в использовании должностного пол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жения служащего, следует расценивать как склонение к совершению коррупционного правон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рушения, о чем государственный или муниципальный служащий должен уведомить представ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теля нанимателя (работодателя), органы прокуратуры или другие государственные органы в 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ответствии со статьей 9 Федерального закона «О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тиводействии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коррупции».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Невыполнение государственным или муниципальным служащим должностной (служе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б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ной) обязанности уведомлять об обращении в целях склонения к совершению коррупционных правонарушений, является прав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нарушением, влекущим его увольнение с государственной или муниципальной службы либо привлечение его к иным видам ответственности в соотве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ствии с законодательством Российской Федерации.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Запрет на получение подарков должностными лицами не распространяется</w:t>
      </w:r>
      <w:r w:rsidR="009D1574"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на случаи д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 xml:space="preserve">рения в связи </w:t>
      </w:r>
      <w:proofErr w:type="gramStart"/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с</w:t>
      </w:r>
      <w:proofErr w:type="gramEnd"/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: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протокольными мероприятиями,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служебными командировками,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другими официальными мероприятиями.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Такие подарки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ю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щий государственный или муниципал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ь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ный орган.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Лицо, сдавшее подарок, полученный им в связи с официальным мероприятием, может его выкупить в установленном порядке.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Денежное вознаграждение, вручаемое одновременно с поощрением (наградой), является его составной частью в случае, если данное вознаграждение предусмотрено нормативным прав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вым актов, регулирующим порядок вручения соответствующего поощрения (награды). В этой связи должностное лицо вправе получать от имени государственных (муниципальных) органов, иных организаций ценные подарки, вручаемые в качестве поощрения (награды), с одновреме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ной выплатой денежного вознаграждения. При этом получение таких поощрений (наград) не 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ключает возможность возникновения конфликта интересов.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К случаям получения подарка в связи с протокольными мероприятиями, служебными к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мандировками и другими официальными мероприятиями 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относятся факты оставления орган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заторами мероприятия в гостиничном номере подарков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 сувениров, а также вручения п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дарков от имени участвующих в мероприятиях делегаций в перерыве между мероприятиями или после их окончания.</w:t>
      </w:r>
    </w:p>
    <w:p w:rsidR="009D1574" w:rsidRPr="00B10119" w:rsidRDefault="009D1574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</w:pP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Порядок</w:t>
      </w:r>
    </w:p>
    <w:p w:rsidR="009D1574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сообщения о получении подарка в связи с протокольными мероприятиями, служе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б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 xml:space="preserve">ными командировками и другими официальными 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мероприятиями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0C14E0" w:rsidRPr="00B10119" w:rsidTr="009D1574">
        <w:tc>
          <w:tcPr>
            <w:tcW w:w="9360" w:type="dxa"/>
            <w:vAlign w:val="center"/>
            <w:hideMark/>
          </w:tcPr>
          <w:p w:rsidR="000C14E0" w:rsidRPr="00B10119" w:rsidRDefault="000C14E0" w:rsidP="00B1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Лицо обязано уведомить орган или организацию, в </w:t>
            </w:r>
            <w:proofErr w:type="gramStart"/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проходит государственную (муниципальную) службу или осуществляет трудовую деятел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ность.</w:t>
            </w:r>
          </w:p>
        </w:tc>
      </w:tr>
    </w:tbl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не позднее пяти рабочих дней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со дня регистрации уведомления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0C14E0" w:rsidRPr="00B10119" w:rsidTr="000C14E0">
        <w:tc>
          <w:tcPr>
            <w:tcW w:w="9360" w:type="dxa"/>
            <w:vAlign w:val="center"/>
            <w:hideMark/>
          </w:tcPr>
          <w:p w:rsidR="000C14E0" w:rsidRPr="00B10119" w:rsidRDefault="000C14E0" w:rsidP="00B1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Подарок подлежит передаче на хранение.</w:t>
            </w:r>
          </w:p>
          <w:p w:rsidR="000C14E0" w:rsidRPr="00B10119" w:rsidRDefault="000C14E0" w:rsidP="00B1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Подарок, полученный лицом, замещающим государственную (муниципальную) дол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ность, </w:t>
            </w:r>
            <w:r w:rsidRPr="00B10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независимо от его стоимости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подлежит передаче на хр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нение.</w:t>
            </w:r>
          </w:p>
        </w:tc>
      </w:tr>
    </w:tbl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</w:tblGrid>
      <w:tr w:rsidR="000C14E0" w:rsidRPr="00B10119" w:rsidTr="000C14E0">
        <w:tc>
          <w:tcPr>
            <w:tcW w:w="9360" w:type="dxa"/>
            <w:vAlign w:val="center"/>
            <w:hideMark/>
          </w:tcPr>
          <w:p w:rsidR="000C14E0" w:rsidRPr="00B10119" w:rsidRDefault="000C14E0" w:rsidP="00B1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Определение стоимости подарка</w:t>
            </w:r>
          </w:p>
          <w:p w:rsidR="000C14E0" w:rsidRPr="00B10119" w:rsidRDefault="000C14E0" w:rsidP="00B1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(с привлечением при необходимости комиссии или коллегиального органа на основе р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ночной цены или цены на аналогичную материальную ценность)</w:t>
            </w:r>
          </w:p>
        </w:tc>
      </w:tr>
    </w:tbl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252525"/>
          <w:sz w:val="24"/>
          <w:szCs w:val="24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0"/>
        <w:gridCol w:w="4680"/>
      </w:tblGrid>
      <w:tr w:rsidR="000C14E0" w:rsidRPr="00B10119" w:rsidTr="000C14E0">
        <w:tc>
          <w:tcPr>
            <w:tcW w:w="4680" w:type="dxa"/>
            <w:vAlign w:val="center"/>
            <w:hideMark/>
          </w:tcPr>
          <w:p w:rsidR="000C14E0" w:rsidRPr="00B10119" w:rsidRDefault="000C14E0" w:rsidP="00B1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тысяч рублей</w:t>
            </w:r>
          </w:p>
        </w:tc>
        <w:tc>
          <w:tcPr>
            <w:tcW w:w="4680" w:type="dxa"/>
            <w:vAlign w:val="center"/>
            <w:hideMark/>
          </w:tcPr>
          <w:p w:rsidR="000C14E0" w:rsidRPr="00B10119" w:rsidRDefault="000C14E0" w:rsidP="00B1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тысяч рублей</w:t>
            </w:r>
          </w:p>
        </w:tc>
      </w:tr>
    </w:tbl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252525"/>
          <w:sz w:val="24"/>
          <w:szCs w:val="24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0"/>
        <w:gridCol w:w="4680"/>
      </w:tblGrid>
      <w:tr w:rsidR="000C14E0" w:rsidRPr="00B10119" w:rsidTr="000C14E0">
        <w:tc>
          <w:tcPr>
            <w:tcW w:w="4680" w:type="dxa"/>
            <w:vAlign w:val="center"/>
            <w:hideMark/>
          </w:tcPr>
          <w:p w:rsidR="000C14E0" w:rsidRPr="00B10119" w:rsidRDefault="000C14E0" w:rsidP="00B1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Подарок возвращается сдавшему его лицу по акту приема-передачи (за и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ключением лиц, замещающих </w:t>
            </w:r>
            <w:proofErr w:type="spellStart"/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. /</w:t>
            </w:r>
            <w:proofErr w:type="spellStart"/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должность)</w:t>
            </w:r>
          </w:p>
        </w:tc>
        <w:tc>
          <w:tcPr>
            <w:tcW w:w="4680" w:type="dxa"/>
            <w:vAlign w:val="center"/>
            <w:hideMark/>
          </w:tcPr>
          <w:p w:rsidR="000C14E0" w:rsidRPr="00B10119" w:rsidRDefault="000C14E0" w:rsidP="00B1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Подарок включается в реестр федерального имущества или соответствующий реестр субъекта Российской Федерации (реестр м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образования).</w:t>
            </w:r>
          </w:p>
        </w:tc>
      </w:tr>
    </w:tbl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252525"/>
          <w:sz w:val="24"/>
          <w:szCs w:val="24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0"/>
      </w:tblGrid>
      <w:tr w:rsidR="000C14E0" w:rsidRPr="00B10119" w:rsidTr="000C14E0">
        <w:tc>
          <w:tcPr>
            <w:tcW w:w="5460" w:type="dxa"/>
            <w:vAlign w:val="center"/>
            <w:hideMark/>
          </w:tcPr>
          <w:p w:rsidR="000C14E0" w:rsidRPr="00B10119" w:rsidRDefault="000C14E0" w:rsidP="00B1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сдавшее подарок может его выкупить, напр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вив на имя представителя нанимателя (работодат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ля) соответствующее заявление не позднее двух м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сяцев со дня сдачи пода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10119">
              <w:rPr>
                <w:rFonts w:ascii="Times New Roman" w:eastAsia="Times New Roman" w:hAnsi="Times New Roman" w:cs="Times New Roman"/>
                <w:sz w:val="24"/>
                <w:szCs w:val="24"/>
              </w:rPr>
              <w:t>ка.</w:t>
            </w:r>
          </w:p>
        </w:tc>
      </w:tr>
    </w:tbl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 Под 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конфликтом интересов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 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я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ет или может повлиять на надлежащее, объективное и беспристрастное исполнение им должн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стных (служебных) обязанностей (осуществление полном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чий).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На кого распространяется запрет на получение подарков?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Законодательством Российской Федерации определен следующий субъектный состав лиц, на к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торых распространяется его действие: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1) лица, замещающие государст</w:t>
      </w:r>
      <w:r w:rsidR="00B97E9A"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венные должности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, муниципальные должн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сти;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2) государственные и муниципальные служащие;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3) иные лица.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Не влечет обязанности по уведомлению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получение подарков, не связанных с должностным п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ложением государственного (муниципального) служащего или исполнением им служебных об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я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занностей (подарки от родственников и иных близких лиц, которые при этом одновременно не являются лицами, в отношении которых государственный (мун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ципальный) служащий прямо либо косвенно осуществляет функции управления, контроля или надзора, включая лиц, которые имеют или могут иметь личную заинтересованность в использовании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государственным (муниц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пальным) служащим своего служебного пол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жения и статуса для предоставления таким лицам необоснова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ных преимуществ, в том числе нематериального характера).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Вместе с тем получение крупных (дорогостоящих) подарков может в последующем ра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сматриваться как наличие имущественных (финансовых) отношений </w:t>
      </w: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одаряемого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 д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рителем. Указанное обстоятельство может быть значимо для установления вероятного конфликта интер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сов.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Особенности правового регулирования получения подарков в организ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циях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Федеральный закон «О противодействии коррупции» распространяет ряд </w:t>
      </w:r>
      <w:proofErr w:type="spell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антикоррупц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онных</w:t>
      </w:r>
      <w:proofErr w:type="spell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правовых механизмов не только на государственных служащих, но и на должностных лиц 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организаций.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При этом законодатель исходит из того, что правовое положение должностных лиц соответс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вующих организаций сопряжено с повышенными коррупционными рисками, которые предопр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делены такими особенностями их правового статуса как: формирование имущества за счет гос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дарственного орг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на субъекта Российской Федерации, наделение помимо общегражданских прав 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lastRenderedPageBreak/>
        <w:t>и обязанностей целым рядом публично-правовых полномочий, реализ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ция которых затрагивает значительную часть населения региона.</w:t>
      </w:r>
      <w:proofErr w:type="gramEnd"/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Данные организации обладают рядом особенностей и разнообразным прав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вым статусом.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Правовой статус 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организаций, создаваемых на основании законов субъекта Росси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й</w:t>
      </w: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ской Федерации, 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индивидуален, поскольку регулируется законом, в силу которого данное юр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дическое лицо образовано.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Особенности </w:t>
      </w:r>
      <w:proofErr w:type="spell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антикоррупционных</w:t>
      </w:r>
      <w:proofErr w:type="spell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стандартов должны быть направлены на решение двух осно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ных задач: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1) ограничить круг возможных действий работника, которые могут привести к его поп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данию в ситуацию конфликта интересов (например, получение подарка или предложения о работе по 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вместительству от организации-конкурента могут в дальнейшем побудить работника совершить те или иные действия в пользу такой организации, идущие вразрез с его трудовыми обязанн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стями; установление соответствующих </w:t>
      </w:r>
      <w:proofErr w:type="spell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антикоррупционных</w:t>
      </w:r>
      <w:proofErr w:type="spell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ста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дартов на получение подарков и работу по совместительству позволят предупредить попадание работника в такую этически спорную ситуацию);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2) затруднить осуществление или сокрытие уже имевших место коррупционных правонаруш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ний.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Следует иметь в виду, что </w:t>
      </w:r>
      <w:proofErr w:type="spell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антикоррупционные</w:t>
      </w:r>
      <w:proofErr w:type="spell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стандарты имеют более широкий спектр действия, чем регулирование вопросов, связанных непосредственно с недопустимостью сове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шения коррупционных правонарушений. В данные стандарты следует включить положения, 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танавливающие ряд правил (порядков) поведения работников, затрагивающих общую этику д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ловых отношений и направленных на формирование этичного, добросовестного поведения 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ботников и организации в целом.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Получение подарка делает работника в определенной степени обязанным дарителю; в св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я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зи с этим подарки часто используются для поддержания неформальных, в том числе коррупц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онных отношений. Получение даже незначительных по стоимости подарков может быть при 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личии определенных обстоятель</w:t>
      </w: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ств кв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алифицировано как получ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ние взятки или коммерческий подкуп. Устанавливая </w:t>
      </w:r>
      <w:proofErr w:type="spell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антикоррупционные</w:t>
      </w:r>
      <w:proofErr w:type="spell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стандарты в данной сфере, рекомендуется уделить внимание как получению подарков сотрудниками 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ганизаций, так и дарению подарков от имени организации. В первом случае получение работником организации подарка от лица, в отношении которого он наделен теми или иными управленческими или распределительными полномочиями, а также от иных заинтересованных сторон (например, от конкурентов) может послужить прич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ной отступления им от объективного и беспристрастного исполнения своих трудовых обязанн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стей. Подарок также может быть «оплатой» за уже совершенные работником неправомерные действия.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В этой связи особенно жесткие </w:t>
      </w:r>
      <w:proofErr w:type="spell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антикоррупционные</w:t>
      </w:r>
      <w:proofErr w:type="spell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стандарты должны быть уст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новлены в части дарения подарков тем категориям лиц, для которых установлены законодательные запр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ты и ограничения на получение подарков: лиц, замещающих государс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венные и муниципальные должности, государственных и муниципальных служащих, работников отдельных категорий 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ганизаций.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Кроме регулирования вопросов дарения и получения подарков, организации следует обр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тить внимание на регулирование представительских ра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ходов, используемых на оплату деловых поездок, проведение конференций, иных мероприятий, оплату питания, проживания, развлечения деловых партнеров. Следует иметь в виду, что такие расходы также могут использоваться в кач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стве «прикрытия» для коррупционных платежей, в </w:t>
      </w: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связи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 чем организации рекомендуется пр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дусмотреть: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условия получения сотрудниками сре</w:t>
      </w: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дств дл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я оплаты такого рода расходов, например, необх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димость согласования их получения с </w:t>
      </w:r>
      <w:proofErr w:type="spell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антикоррупционным</w:t>
      </w:r>
      <w:proofErr w:type="spell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подразделением;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механизмы последующего контроля использования таких расходов в соответствии с заявле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ными целями.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Одновременно в локальных нормативных актах организации, например, в </w:t>
      </w:r>
      <w:proofErr w:type="spell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антикоррупц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онной</w:t>
      </w:r>
      <w:proofErr w:type="spell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политике организации, следует установить прямой запрет на получение и д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чу подарков. 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lastRenderedPageBreak/>
        <w:t>При этом следует обратить внимание на то, что, хотя в Уголовном кодексе Российской Федер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ции взяткой признается только непосредственно передача денежных средств, иных ценностей взяткополучателю, в ряде зарубежных стран взяткой будет считаться также предложение, об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щание, одобрение взятки, а также </w:t>
      </w:r>
      <w:proofErr w:type="spell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испрашивание</w:t>
      </w:r>
      <w:proofErr w:type="spell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и согласие на получение взятки. В этой связи организациями, в первую очередь ведущим внешнеэк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номическую деятельность или имеющим зарубежных контрагентов, рекомендуется предусматривать запрет на все указанные неправоме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ные действия.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0C14E0" w:rsidRPr="00B10119" w:rsidRDefault="000C14E0" w:rsidP="00B10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ОТВЕТСТВЕННОСТЬ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Подарок может расцениваться как взятка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Действующим законодательством предусмотрен особый порядок привлечения к дисци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п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линарной ответственности за совершение коррупционного правонарушения.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Так, например, взыскания налагаются на гражданского служащего в соответствии с п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рядком, установленным статьей 59.3 Федерального закона «О государственной гражданской службе Российской Федерации», и применяются представителем нанимателя на основании до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к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лада о результатах проверки, проведенной подразделением кадровой службы соответствующего г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сударственного органа по профилактике коррупционных и иных правонарушений, а в случае, если доклад о результатах проверки направлялся в комиссию по урегулированию конфликта 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тересов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, и на основании рекомендации указанной к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миссии.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 согласия гражданского служащего и при условии признания им факта совершения ко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рупционного правонарушения взыскание, за исключением увольнения в связи с утратой доверия, может быть применено на основании доклада подразделения кадровой службы соответствующ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го государственного органа по профилактике коррупционных и иных правонарушений о сове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шении коррупционного правонарушения, в котором изл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гаются фактические обстоятельства его совершения, и письменного объяснения такого гр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жданского служащего.</w:t>
      </w:r>
      <w:proofErr w:type="gramEnd"/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За несоблюдение государственным гражданским служащим ограничений и запретов, тр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бований о предотвращении или об урегулировании конфликта интересов и неисполнение об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я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занностей, установленных в целях противодействия коррупции данным ф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деральным законом, Федеральным законом «О противодействии коррупции» и другими федеральными законами, 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лагаются следующие взыскания: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замечание,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выговор,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- предупреждение о неполном должностном соответствии.</w:t>
      </w:r>
    </w:p>
    <w:p w:rsidR="000C14E0" w:rsidRPr="00B10119" w:rsidRDefault="000C14E0" w:rsidP="00B1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Кроме того, частью 1 статьи 59.2 Федерального закона «О государственной гражданской службе» предусмотрен особый вид дисциплинарной ответственности – увольнение в связи с 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т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ратой доверия.</w:t>
      </w:r>
    </w:p>
    <w:p w:rsidR="000C14E0" w:rsidRPr="00B10119" w:rsidRDefault="000C14E0" w:rsidP="00B1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Статьей 19.28 Кодекса Российской Федерации об административных правонарушениях («Нез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конное вознаграждение от имени юридического лица») для юридических лиц установлена адм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нистративная ответственность за 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законные передачу,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(бездействие), связанного с занимаемым сл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у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жебным положением.</w:t>
      </w:r>
      <w:proofErr w:type="gramEnd"/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Размер администрати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в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ного штрафа может составлять до стократной суммы денежных средств, стоимости це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ных бумаг, иного имущества, услуг имущественного характера, иных имущественных прав, незаконно переданных или оказанных либо обещанных или предл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о</w:t>
      </w:r>
      <w:r w:rsidRPr="00B10119">
        <w:rPr>
          <w:rFonts w:ascii="Times New Roman" w:eastAsia="Times New Roman" w:hAnsi="Times New Roman" w:cs="Times New Roman"/>
          <w:color w:val="252525"/>
          <w:sz w:val="24"/>
          <w:szCs w:val="24"/>
        </w:rPr>
        <w:t>женных от имени юридического лица с конфискацией денег, ценных бумаг, иного имущества или стоимости услуг имущественного характера, иных имущественных прав.</w:t>
      </w:r>
    </w:p>
    <w:p w:rsidR="00C2373F" w:rsidRPr="00B10119" w:rsidRDefault="00C2373F" w:rsidP="00B10119">
      <w:pPr>
        <w:spacing w:after="0"/>
        <w:jc w:val="both"/>
        <w:rPr>
          <w:sz w:val="24"/>
          <w:szCs w:val="24"/>
        </w:rPr>
      </w:pPr>
    </w:p>
    <w:sectPr w:rsidR="00C2373F" w:rsidRPr="00B10119" w:rsidSect="00B101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217A"/>
    <w:multiLevelType w:val="multilevel"/>
    <w:tmpl w:val="E44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E6535"/>
    <w:multiLevelType w:val="multilevel"/>
    <w:tmpl w:val="BFC8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compat>
    <w:useFELayout/>
  </w:compat>
  <w:rsids>
    <w:rsidRoot w:val="000C14E0"/>
    <w:rsid w:val="000C14E0"/>
    <w:rsid w:val="0028232E"/>
    <w:rsid w:val="003801AF"/>
    <w:rsid w:val="0053553F"/>
    <w:rsid w:val="00571C48"/>
    <w:rsid w:val="009D1574"/>
    <w:rsid w:val="00B10119"/>
    <w:rsid w:val="00B97E9A"/>
    <w:rsid w:val="00C2373F"/>
    <w:rsid w:val="00D6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AF"/>
  </w:style>
  <w:style w:type="paragraph" w:styleId="1">
    <w:name w:val="heading 1"/>
    <w:basedOn w:val="a"/>
    <w:link w:val="10"/>
    <w:uiPriority w:val="9"/>
    <w:qFormat/>
    <w:rsid w:val="000C1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4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tegory-name">
    <w:name w:val="category-name"/>
    <w:basedOn w:val="a0"/>
    <w:rsid w:val="000C14E0"/>
  </w:style>
  <w:style w:type="character" w:styleId="a3">
    <w:name w:val="Hyperlink"/>
    <w:basedOn w:val="a0"/>
    <w:uiPriority w:val="99"/>
    <w:semiHidden/>
    <w:unhideWhenUsed/>
    <w:rsid w:val="000C14E0"/>
    <w:rPr>
      <w:color w:val="0000FF"/>
      <w:u w:val="single"/>
    </w:rPr>
  </w:style>
  <w:style w:type="character" w:customStyle="1" w:styleId="published">
    <w:name w:val="published"/>
    <w:basedOn w:val="a0"/>
    <w:rsid w:val="000C14E0"/>
  </w:style>
  <w:style w:type="paragraph" w:styleId="a4">
    <w:name w:val="Normal (Web)"/>
    <w:basedOn w:val="a"/>
    <w:uiPriority w:val="99"/>
    <w:unhideWhenUsed/>
    <w:rsid w:val="000C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C14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3560</Words>
  <Characters>20297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Елена_Владимировна</dc:creator>
  <cp:keywords/>
  <dc:description/>
  <cp:lastModifiedBy>2</cp:lastModifiedBy>
  <cp:revision>5</cp:revision>
  <cp:lastPrinted>2022-12-26T08:53:00Z</cp:lastPrinted>
  <dcterms:created xsi:type="dcterms:W3CDTF">2022-12-23T09:19:00Z</dcterms:created>
  <dcterms:modified xsi:type="dcterms:W3CDTF">2024-11-20T05:20:00Z</dcterms:modified>
</cp:coreProperties>
</file>