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D7" w:rsidRPr="00292E18" w:rsidRDefault="00B27FD7" w:rsidP="00B27FD7">
      <w:pPr>
        <w:spacing w:line="240" w:lineRule="auto"/>
        <w:jc w:val="center"/>
        <w:rPr>
          <w:rFonts w:ascii="Arial" w:hAnsi="Arial" w:cs="Arial"/>
          <w:szCs w:val="24"/>
        </w:rPr>
      </w:pPr>
      <w:r w:rsidRPr="00292E18">
        <w:rPr>
          <w:rFonts w:ascii="Arial" w:hAnsi="Arial" w:cs="Arial"/>
          <w:szCs w:val="24"/>
        </w:rPr>
        <w:t>КРАСНОДАРСКИЙ КРАЙ</w:t>
      </w:r>
    </w:p>
    <w:p w:rsidR="00B27FD7" w:rsidRPr="00292E18" w:rsidRDefault="00B27FD7" w:rsidP="00B27FD7">
      <w:pPr>
        <w:spacing w:line="240" w:lineRule="auto"/>
        <w:jc w:val="center"/>
        <w:rPr>
          <w:rFonts w:ascii="Arial" w:hAnsi="Arial" w:cs="Arial"/>
          <w:szCs w:val="24"/>
        </w:rPr>
      </w:pPr>
      <w:r w:rsidRPr="00292E18">
        <w:rPr>
          <w:rFonts w:ascii="Arial" w:hAnsi="Arial" w:cs="Arial"/>
          <w:szCs w:val="24"/>
        </w:rPr>
        <w:t>КРЫЛОВСКИЙ РАЙОН</w:t>
      </w:r>
    </w:p>
    <w:p w:rsidR="00B27FD7" w:rsidRPr="00292E18" w:rsidRDefault="00B27FD7" w:rsidP="00B27FD7">
      <w:pPr>
        <w:spacing w:line="240" w:lineRule="auto"/>
        <w:jc w:val="center"/>
        <w:rPr>
          <w:rFonts w:ascii="Arial" w:hAnsi="Arial" w:cs="Arial"/>
          <w:szCs w:val="24"/>
        </w:rPr>
      </w:pPr>
      <w:r w:rsidRPr="00292E18">
        <w:rPr>
          <w:rFonts w:ascii="Arial" w:hAnsi="Arial" w:cs="Arial"/>
          <w:szCs w:val="24"/>
        </w:rPr>
        <w:t>СОВЕТ ОКТЯБРЬСКОГО СЕЛЬСКОГО ПОСЕЛЕНИЯ</w:t>
      </w:r>
    </w:p>
    <w:p w:rsidR="00B27FD7" w:rsidRPr="00292E18" w:rsidRDefault="00B27FD7" w:rsidP="00B27FD7">
      <w:pPr>
        <w:spacing w:line="240" w:lineRule="auto"/>
        <w:jc w:val="center"/>
        <w:rPr>
          <w:rFonts w:ascii="Arial" w:hAnsi="Arial" w:cs="Arial"/>
          <w:szCs w:val="24"/>
        </w:rPr>
      </w:pPr>
      <w:r w:rsidRPr="00292E18">
        <w:rPr>
          <w:rFonts w:ascii="Arial" w:hAnsi="Arial" w:cs="Arial"/>
          <w:szCs w:val="24"/>
        </w:rPr>
        <w:t>КРЫЛОВСКОГО РАЙОНА</w:t>
      </w:r>
    </w:p>
    <w:p w:rsidR="00B27FD7" w:rsidRPr="00292E18" w:rsidRDefault="00B27FD7" w:rsidP="00B27FD7">
      <w:pPr>
        <w:spacing w:line="240" w:lineRule="auto"/>
        <w:jc w:val="center"/>
        <w:rPr>
          <w:rFonts w:ascii="Arial" w:hAnsi="Arial" w:cs="Arial"/>
          <w:szCs w:val="24"/>
        </w:rPr>
      </w:pPr>
    </w:p>
    <w:p w:rsidR="00B27FD7" w:rsidRPr="00292E18" w:rsidRDefault="00B27FD7" w:rsidP="00B27FD7">
      <w:pPr>
        <w:spacing w:line="240" w:lineRule="auto"/>
        <w:jc w:val="center"/>
        <w:rPr>
          <w:rFonts w:ascii="Arial" w:hAnsi="Arial" w:cs="Arial"/>
          <w:szCs w:val="24"/>
        </w:rPr>
      </w:pPr>
      <w:r w:rsidRPr="00292E18">
        <w:rPr>
          <w:rFonts w:ascii="Arial" w:hAnsi="Arial" w:cs="Arial"/>
          <w:szCs w:val="24"/>
        </w:rPr>
        <w:t>РЕШЕНИЕ</w:t>
      </w:r>
    </w:p>
    <w:p w:rsidR="00B27FD7" w:rsidRPr="00292E18" w:rsidRDefault="00B27FD7" w:rsidP="00B27FD7">
      <w:pPr>
        <w:spacing w:line="240" w:lineRule="auto"/>
        <w:jc w:val="center"/>
        <w:rPr>
          <w:rFonts w:ascii="Arial" w:hAnsi="Arial" w:cs="Arial"/>
          <w:szCs w:val="24"/>
        </w:rPr>
      </w:pPr>
    </w:p>
    <w:p w:rsidR="00B27FD7" w:rsidRPr="00292E18" w:rsidRDefault="00B27FD7" w:rsidP="00B27FD7">
      <w:pPr>
        <w:spacing w:line="240" w:lineRule="auto"/>
        <w:jc w:val="center"/>
        <w:rPr>
          <w:rFonts w:ascii="Arial" w:hAnsi="Arial" w:cs="Arial"/>
          <w:szCs w:val="24"/>
        </w:rPr>
      </w:pPr>
      <w:r w:rsidRPr="00292E18">
        <w:rPr>
          <w:rFonts w:ascii="Arial" w:hAnsi="Arial" w:cs="Arial"/>
          <w:szCs w:val="24"/>
        </w:rPr>
        <w:t xml:space="preserve">от  </w:t>
      </w:r>
      <w:r>
        <w:rPr>
          <w:rFonts w:ascii="Arial" w:hAnsi="Arial" w:cs="Arial"/>
          <w:szCs w:val="24"/>
        </w:rPr>
        <w:t>23</w:t>
      </w:r>
      <w:r w:rsidRPr="00292E1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ноября</w:t>
      </w:r>
      <w:r w:rsidRPr="00292E18">
        <w:rPr>
          <w:rFonts w:ascii="Arial" w:hAnsi="Arial" w:cs="Arial"/>
          <w:szCs w:val="24"/>
        </w:rPr>
        <w:t xml:space="preserve"> 2018 </w:t>
      </w:r>
      <w:r>
        <w:rPr>
          <w:rFonts w:ascii="Arial" w:hAnsi="Arial" w:cs="Arial"/>
          <w:szCs w:val="24"/>
        </w:rPr>
        <w:t xml:space="preserve">года                          </w:t>
      </w:r>
      <w:r w:rsidRPr="00292E18">
        <w:rPr>
          <w:rFonts w:ascii="Arial" w:hAnsi="Arial" w:cs="Arial"/>
          <w:szCs w:val="24"/>
        </w:rPr>
        <w:t xml:space="preserve"> № 2</w:t>
      </w:r>
      <w:r>
        <w:rPr>
          <w:rFonts w:ascii="Arial" w:hAnsi="Arial" w:cs="Arial"/>
          <w:szCs w:val="24"/>
        </w:rPr>
        <w:t xml:space="preserve">44                  </w:t>
      </w:r>
      <w:r w:rsidRPr="00292E18">
        <w:rPr>
          <w:rFonts w:ascii="Arial" w:hAnsi="Arial" w:cs="Arial"/>
          <w:szCs w:val="24"/>
        </w:rPr>
        <w:t xml:space="preserve">                     ст. Октябрьская</w:t>
      </w:r>
    </w:p>
    <w:p w:rsidR="00950E98" w:rsidRDefault="00950E98" w:rsidP="00156F17">
      <w:pPr>
        <w:spacing w:line="240" w:lineRule="auto"/>
        <w:jc w:val="center"/>
        <w:rPr>
          <w:b/>
          <w:sz w:val="28"/>
          <w:szCs w:val="28"/>
        </w:rPr>
      </w:pPr>
    </w:p>
    <w:p w:rsidR="00156F17" w:rsidRPr="00B27FD7" w:rsidRDefault="000601C4" w:rsidP="00156F17">
      <w:pPr>
        <w:spacing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B27FD7">
        <w:rPr>
          <w:rFonts w:ascii="Arial" w:hAnsi="Arial" w:cs="Arial"/>
          <w:b/>
          <w:sz w:val="32"/>
          <w:szCs w:val="28"/>
        </w:rPr>
        <w:t>О внесении изменений в решение Совета Октябрьского сельского поселения Кр</w:t>
      </w:r>
      <w:r w:rsidR="000750FD" w:rsidRPr="00B27FD7">
        <w:rPr>
          <w:rFonts w:ascii="Arial" w:hAnsi="Arial" w:cs="Arial"/>
          <w:b/>
          <w:sz w:val="32"/>
          <w:szCs w:val="28"/>
        </w:rPr>
        <w:t xml:space="preserve">ыловского района от </w:t>
      </w:r>
      <w:r w:rsidR="00950E98" w:rsidRPr="00B27FD7">
        <w:rPr>
          <w:rFonts w:ascii="Arial" w:hAnsi="Arial" w:cs="Arial"/>
          <w:b/>
          <w:sz w:val="32"/>
          <w:szCs w:val="28"/>
        </w:rPr>
        <w:t>18</w:t>
      </w:r>
      <w:r w:rsidR="00B6056B" w:rsidRPr="00B27FD7">
        <w:rPr>
          <w:rFonts w:ascii="Arial" w:hAnsi="Arial" w:cs="Arial"/>
          <w:b/>
          <w:sz w:val="32"/>
          <w:szCs w:val="28"/>
        </w:rPr>
        <w:t xml:space="preserve"> ноября </w:t>
      </w:r>
      <w:r w:rsidR="00950E98" w:rsidRPr="00B27FD7">
        <w:rPr>
          <w:rFonts w:ascii="Arial" w:hAnsi="Arial" w:cs="Arial"/>
          <w:b/>
          <w:sz w:val="32"/>
          <w:szCs w:val="28"/>
        </w:rPr>
        <w:t>2016</w:t>
      </w:r>
      <w:r w:rsidR="00B6056B" w:rsidRPr="00B27FD7">
        <w:rPr>
          <w:rFonts w:ascii="Arial" w:hAnsi="Arial" w:cs="Arial"/>
          <w:b/>
          <w:sz w:val="32"/>
          <w:szCs w:val="28"/>
        </w:rPr>
        <w:t xml:space="preserve"> года</w:t>
      </w:r>
      <w:r w:rsidR="00950E98" w:rsidRPr="00B27FD7">
        <w:rPr>
          <w:rFonts w:ascii="Arial" w:hAnsi="Arial" w:cs="Arial"/>
          <w:b/>
          <w:sz w:val="32"/>
          <w:szCs w:val="28"/>
        </w:rPr>
        <w:t xml:space="preserve"> №</w:t>
      </w:r>
      <w:r w:rsidR="001E10AB">
        <w:rPr>
          <w:rFonts w:ascii="Arial" w:hAnsi="Arial" w:cs="Arial"/>
          <w:b/>
          <w:sz w:val="32"/>
          <w:szCs w:val="28"/>
        </w:rPr>
        <w:t xml:space="preserve">130 </w:t>
      </w:r>
      <w:r w:rsidR="00156F17" w:rsidRPr="00B27FD7">
        <w:rPr>
          <w:rFonts w:ascii="Arial" w:hAnsi="Arial" w:cs="Arial"/>
          <w:b/>
          <w:sz w:val="32"/>
          <w:szCs w:val="28"/>
        </w:rPr>
        <w:t>О налоге на имущество физических лиц</w:t>
      </w:r>
      <w:r w:rsidR="009B67A1" w:rsidRPr="00B27FD7">
        <w:rPr>
          <w:rFonts w:ascii="Arial" w:hAnsi="Arial" w:cs="Arial"/>
          <w:b/>
          <w:sz w:val="32"/>
          <w:szCs w:val="28"/>
        </w:rPr>
        <w:t xml:space="preserve"> исходя из кадастровой стоимости</w:t>
      </w:r>
      <w:r w:rsidR="00156F17" w:rsidRPr="00B27FD7">
        <w:rPr>
          <w:rFonts w:ascii="Arial" w:hAnsi="Arial" w:cs="Arial"/>
          <w:b/>
          <w:sz w:val="32"/>
          <w:szCs w:val="28"/>
        </w:rPr>
        <w:t xml:space="preserve"> на территории Октябрьского сельского поселения Крыловского района</w:t>
      </w:r>
    </w:p>
    <w:p w:rsidR="00156F17" w:rsidRPr="00B27FD7" w:rsidRDefault="00156F17" w:rsidP="00156F17">
      <w:pPr>
        <w:spacing w:line="240" w:lineRule="auto"/>
        <w:jc w:val="center"/>
        <w:rPr>
          <w:rFonts w:ascii="Arial" w:hAnsi="Arial" w:cs="Arial"/>
          <w:szCs w:val="28"/>
        </w:rPr>
      </w:pPr>
    </w:p>
    <w:p w:rsidR="000601C4" w:rsidRPr="00B27FD7" w:rsidRDefault="000601C4" w:rsidP="005950DE">
      <w:pPr>
        <w:pStyle w:val="a3"/>
        <w:jc w:val="both"/>
        <w:rPr>
          <w:rFonts w:ascii="Arial" w:hAnsi="Arial" w:cs="Arial"/>
          <w:sz w:val="24"/>
          <w:szCs w:val="28"/>
        </w:rPr>
      </w:pPr>
    </w:p>
    <w:p w:rsidR="00123DD3" w:rsidRPr="006170A8" w:rsidRDefault="00386968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В соответствии с Федеральным законом от 06</w:t>
      </w:r>
      <w:r w:rsidR="00B6056B" w:rsidRPr="006170A8">
        <w:rPr>
          <w:rFonts w:ascii="Arial" w:hAnsi="Arial" w:cs="Arial"/>
        </w:rPr>
        <w:t xml:space="preserve"> октября </w:t>
      </w:r>
      <w:r w:rsidRPr="006170A8">
        <w:rPr>
          <w:rFonts w:ascii="Arial" w:hAnsi="Arial" w:cs="Arial"/>
        </w:rPr>
        <w:t>2003</w:t>
      </w:r>
      <w:r w:rsidR="00B6056B" w:rsidRPr="006170A8">
        <w:rPr>
          <w:rFonts w:ascii="Arial" w:hAnsi="Arial" w:cs="Arial"/>
        </w:rPr>
        <w:t xml:space="preserve"> года</w:t>
      </w:r>
      <w:r w:rsidRPr="006170A8">
        <w:rPr>
          <w:rFonts w:ascii="Arial" w:hAnsi="Arial" w:cs="Arial"/>
        </w:rPr>
        <w:t>№131-ФЗ «Об общих принципах организации местного самоуправления в Российской Федерации», главой 32 Налогового кодекса Российской Федерации, Законом Краснодарского края от 26</w:t>
      </w:r>
      <w:r w:rsidR="00B6056B" w:rsidRPr="006170A8">
        <w:rPr>
          <w:rFonts w:ascii="Arial" w:hAnsi="Arial" w:cs="Arial"/>
        </w:rPr>
        <w:t xml:space="preserve"> ноября </w:t>
      </w:r>
      <w:r w:rsidRPr="006170A8">
        <w:rPr>
          <w:rFonts w:ascii="Arial" w:hAnsi="Arial" w:cs="Arial"/>
        </w:rPr>
        <w:t>2003</w:t>
      </w:r>
      <w:r w:rsidR="00B6056B" w:rsidRPr="006170A8">
        <w:rPr>
          <w:rFonts w:ascii="Arial" w:hAnsi="Arial" w:cs="Arial"/>
        </w:rPr>
        <w:t xml:space="preserve"> </w:t>
      </w:r>
      <w:proofErr w:type="spellStart"/>
      <w:r w:rsidR="00B6056B" w:rsidRPr="006170A8">
        <w:rPr>
          <w:rFonts w:ascii="Arial" w:hAnsi="Arial" w:cs="Arial"/>
        </w:rPr>
        <w:t>года</w:t>
      </w:r>
      <w:r w:rsidRPr="006170A8">
        <w:rPr>
          <w:rFonts w:ascii="Arial" w:hAnsi="Arial" w:cs="Arial"/>
        </w:rPr>
        <w:t>№</w:t>
      </w:r>
      <w:proofErr w:type="spellEnd"/>
      <w:r w:rsidRPr="006170A8">
        <w:rPr>
          <w:rFonts w:ascii="Arial" w:hAnsi="Arial" w:cs="Arial"/>
        </w:rPr>
        <w:t xml:space="preserve"> 620-КЗ «О налоге на имущество организаций», Федеральным законом от 30</w:t>
      </w:r>
      <w:r w:rsidR="00B6056B" w:rsidRPr="006170A8">
        <w:rPr>
          <w:rFonts w:ascii="Arial" w:hAnsi="Arial" w:cs="Arial"/>
        </w:rPr>
        <w:t xml:space="preserve"> сентября </w:t>
      </w:r>
      <w:r w:rsidRPr="006170A8">
        <w:rPr>
          <w:rFonts w:ascii="Arial" w:hAnsi="Arial" w:cs="Arial"/>
        </w:rPr>
        <w:t>2017</w:t>
      </w:r>
      <w:r w:rsidR="00B6056B" w:rsidRPr="006170A8">
        <w:rPr>
          <w:rFonts w:ascii="Arial" w:hAnsi="Arial" w:cs="Arial"/>
        </w:rPr>
        <w:t xml:space="preserve"> </w:t>
      </w:r>
      <w:proofErr w:type="spellStart"/>
      <w:r w:rsidR="00B6056B" w:rsidRPr="006170A8">
        <w:rPr>
          <w:rFonts w:ascii="Arial" w:hAnsi="Arial" w:cs="Arial"/>
        </w:rPr>
        <w:t>года</w:t>
      </w:r>
      <w:r w:rsidRPr="006170A8">
        <w:rPr>
          <w:rFonts w:ascii="Arial" w:hAnsi="Arial" w:cs="Arial"/>
        </w:rPr>
        <w:t>№</w:t>
      </w:r>
      <w:proofErr w:type="spellEnd"/>
      <w:r w:rsidRPr="006170A8">
        <w:rPr>
          <w:rFonts w:ascii="Arial" w:hAnsi="Arial" w:cs="Arial"/>
        </w:rPr>
        <w:t xml:space="preserve"> 286-ФЗ «О внесении изменений в часть вторую Налогового кодекса Российской Федерации и отдельные законодательные акты Российской Федерации»,Федеральный закон от </w:t>
      </w:r>
      <w:r w:rsidR="00B6056B" w:rsidRPr="006170A8">
        <w:rPr>
          <w:rFonts w:ascii="Arial" w:hAnsi="Arial" w:cs="Arial"/>
        </w:rPr>
        <w:t>0</w:t>
      </w:r>
      <w:r w:rsidRPr="006170A8">
        <w:rPr>
          <w:rFonts w:ascii="Arial" w:hAnsi="Arial" w:cs="Arial"/>
        </w:rPr>
        <w:t>3</w:t>
      </w:r>
      <w:r w:rsidR="00B6056B" w:rsidRPr="006170A8">
        <w:rPr>
          <w:rFonts w:ascii="Arial" w:hAnsi="Arial" w:cs="Arial"/>
        </w:rPr>
        <w:t xml:space="preserve"> августа </w:t>
      </w:r>
      <w:r w:rsidRPr="006170A8">
        <w:rPr>
          <w:rFonts w:ascii="Arial" w:hAnsi="Arial" w:cs="Arial"/>
        </w:rPr>
        <w:t>2018</w:t>
      </w:r>
      <w:r w:rsidR="00B6056B" w:rsidRPr="006170A8">
        <w:rPr>
          <w:rFonts w:ascii="Arial" w:hAnsi="Arial" w:cs="Arial"/>
        </w:rPr>
        <w:t xml:space="preserve"> </w:t>
      </w:r>
      <w:proofErr w:type="spellStart"/>
      <w:r w:rsidR="00B6056B" w:rsidRPr="006170A8">
        <w:rPr>
          <w:rFonts w:ascii="Arial" w:hAnsi="Arial" w:cs="Arial"/>
        </w:rPr>
        <w:t>года</w:t>
      </w:r>
      <w:r w:rsidRPr="006170A8">
        <w:rPr>
          <w:rFonts w:ascii="Arial" w:hAnsi="Arial" w:cs="Arial"/>
        </w:rPr>
        <w:t>№</w:t>
      </w:r>
      <w:proofErr w:type="spellEnd"/>
      <w:r w:rsidRPr="006170A8">
        <w:rPr>
          <w:rFonts w:ascii="Arial" w:hAnsi="Arial" w:cs="Arial"/>
        </w:rPr>
        <w:t> 334-ФЗ «О внесении изменений в статью 52 части первой и часть вторую Налогового кодекса Российской Федерации», 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</w:t>
      </w:r>
      <w:r w:rsidR="00085FFC" w:rsidRPr="006170A8">
        <w:rPr>
          <w:rFonts w:ascii="Arial" w:hAnsi="Arial" w:cs="Arial"/>
        </w:rPr>
        <w:t xml:space="preserve">,Совет Октябрьского сельского поселения </w:t>
      </w:r>
      <w:r w:rsidR="00123DD3" w:rsidRPr="006170A8">
        <w:rPr>
          <w:rFonts w:ascii="Arial" w:hAnsi="Arial" w:cs="Arial"/>
        </w:rPr>
        <w:t>К</w:t>
      </w:r>
      <w:r w:rsidR="006170A8" w:rsidRPr="006170A8">
        <w:rPr>
          <w:rFonts w:ascii="Arial" w:hAnsi="Arial" w:cs="Arial"/>
        </w:rPr>
        <w:t>рыловского района реши</w:t>
      </w:r>
      <w:r w:rsidR="00085FFC" w:rsidRPr="006170A8">
        <w:rPr>
          <w:rFonts w:ascii="Arial" w:hAnsi="Arial" w:cs="Arial"/>
        </w:rPr>
        <w:t xml:space="preserve">л: </w:t>
      </w:r>
    </w:p>
    <w:p w:rsidR="000601C4" w:rsidRPr="006170A8" w:rsidRDefault="00123DD3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 xml:space="preserve">1. </w:t>
      </w:r>
      <w:r w:rsidR="000601C4" w:rsidRPr="006170A8">
        <w:rPr>
          <w:rFonts w:ascii="Arial" w:hAnsi="Arial" w:cs="Arial"/>
        </w:rPr>
        <w:t>Внести изменения в решение Совета Октябрьского сельского поселения Кр</w:t>
      </w:r>
      <w:r w:rsidR="000750FD" w:rsidRPr="006170A8">
        <w:rPr>
          <w:rFonts w:ascii="Arial" w:hAnsi="Arial" w:cs="Arial"/>
        </w:rPr>
        <w:t xml:space="preserve">ыловского района от </w:t>
      </w:r>
      <w:r w:rsidR="008366A7" w:rsidRPr="006170A8">
        <w:rPr>
          <w:rFonts w:ascii="Arial" w:hAnsi="Arial" w:cs="Arial"/>
        </w:rPr>
        <w:t>18</w:t>
      </w:r>
      <w:r w:rsidR="00B6056B" w:rsidRPr="006170A8">
        <w:rPr>
          <w:rFonts w:ascii="Arial" w:hAnsi="Arial" w:cs="Arial"/>
        </w:rPr>
        <w:t xml:space="preserve"> ноября </w:t>
      </w:r>
      <w:r w:rsidR="008366A7" w:rsidRPr="006170A8">
        <w:rPr>
          <w:rFonts w:ascii="Arial" w:hAnsi="Arial" w:cs="Arial"/>
        </w:rPr>
        <w:t>2016</w:t>
      </w:r>
      <w:r w:rsidR="00B6056B" w:rsidRPr="006170A8">
        <w:rPr>
          <w:rFonts w:ascii="Arial" w:hAnsi="Arial" w:cs="Arial"/>
        </w:rPr>
        <w:t xml:space="preserve"> года</w:t>
      </w:r>
      <w:r w:rsidR="008366A7" w:rsidRPr="006170A8">
        <w:rPr>
          <w:rFonts w:ascii="Arial" w:hAnsi="Arial" w:cs="Arial"/>
        </w:rPr>
        <w:t>№</w:t>
      </w:r>
      <w:r w:rsidR="000601C4" w:rsidRPr="006170A8">
        <w:rPr>
          <w:rFonts w:ascii="Arial" w:hAnsi="Arial" w:cs="Arial"/>
        </w:rPr>
        <w:t>130 «О налоге на имущество физических лиц исходя из кадастровой стоимости на территории Октябрьского сельского поселения Крыловского района»</w:t>
      </w:r>
      <w:r w:rsidR="00386968" w:rsidRPr="006170A8">
        <w:rPr>
          <w:rFonts w:ascii="Arial" w:hAnsi="Arial" w:cs="Arial"/>
        </w:rPr>
        <w:t xml:space="preserve"> (с изменениями от 24</w:t>
      </w:r>
      <w:r w:rsidR="00B6056B" w:rsidRPr="006170A8">
        <w:rPr>
          <w:rFonts w:ascii="Arial" w:hAnsi="Arial" w:cs="Arial"/>
        </w:rPr>
        <w:t xml:space="preserve"> ноября </w:t>
      </w:r>
      <w:r w:rsidR="00386968" w:rsidRPr="006170A8">
        <w:rPr>
          <w:rFonts w:ascii="Arial" w:hAnsi="Arial" w:cs="Arial"/>
        </w:rPr>
        <w:t>2017</w:t>
      </w:r>
      <w:r w:rsidR="00B6056B" w:rsidRPr="006170A8">
        <w:rPr>
          <w:rFonts w:ascii="Arial" w:hAnsi="Arial" w:cs="Arial"/>
        </w:rPr>
        <w:t xml:space="preserve"> года</w:t>
      </w:r>
      <w:r w:rsidR="00386968" w:rsidRPr="006170A8">
        <w:rPr>
          <w:rFonts w:ascii="Arial" w:hAnsi="Arial" w:cs="Arial"/>
        </w:rPr>
        <w:t xml:space="preserve"> №193</w:t>
      </w:r>
      <w:r w:rsidR="00F821CD" w:rsidRPr="006170A8">
        <w:rPr>
          <w:rFonts w:ascii="Arial" w:hAnsi="Arial" w:cs="Arial"/>
        </w:rPr>
        <w:t>)</w:t>
      </w:r>
      <w:r w:rsidR="000601C4" w:rsidRPr="006170A8">
        <w:rPr>
          <w:rFonts w:ascii="Arial" w:hAnsi="Arial" w:cs="Arial"/>
        </w:rPr>
        <w:t xml:space="preserve"> следующие изменения</w:t>
      </w:r>
      <w:r w:rsidR="00950E98" w:rsidRPr="006170A8">
        <w:rPr>
          <w:rFonts w:ascii="Arial" w:hAnsi="Arial" w:cs="Arial"/>
        </w:rPr>
        <w:t xml:space="preserve"> (далее - Решение)</w:t>
      </w:r>
      <w:r w:rsidR="000601C4" w:rsidRPr="006170A8">
        <w:rPr>
          <w:rFonts w:ascii="Arial" w:hAnsi="Arial" w:cs="Arial"/>
        </w:rPr>
        <w:t>:</w:t>
      </w:r>
    </w:p>
    <w:p w:rsidR="000601C4" w:rsidRPr="006170A8" w:rsidRDefault="000601C4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1.1</w:t>
      </w:r>
      <w:r w:rsidR="00950E98" w:rsidRPr="006170A8">
        <w:rPr>
          <w:rFonts w:ascii="Arial" w:hAnsi="Arial" w:cs="Arial"/>
        </w:rPr>
        <w:t>.</w:t>
      </w:r>
      <w:r w:rsidRPr="006170A8">
        <w:rPr>
          <w:rFonts w:ascii="Arial" w:hAnsi="Arial" w:cs="Arial"/>
        </w:rPr>
        <w:t xml:space="preserve"> пунк</w:t>
      </w:r>
      <w:r w:rsidR="00386968" w:rsidRPr="006170A8">
        <w:rPr>
          <w:rFonts w:ascii="Arial" w:hAnsi="Arial" w:cs="Arial"/>
        </w:rPr>
        <w:t>т</w:t>
      </w:r>
      <w:r w:rsidRPr="006170A8">
        <w:rPr>
          <w:rFonts w:ascii="Arial" w:hAnsi="Arial" w:cs="Arial"/>
        </w:rPr>
        <w:t xml:space="preserve"> 4 решения Совета Октябрьского сельского поселения Крыловского района от 18</w:t>
      </w:r>
      <w:r w:rsidR="00B6056B" w:rsidRPr="006170A8">
        <w:rPr>
          <w:rFonts w:ascii="Arial" w:hAnsi="Arial" w:cs="Arial"/>
        </w:rPr>
        <w:t xml:space="preserve"> ноября 2016 года</w:t>
      </w:r>
      <w:r w:rsidRPr="006170A8">
        <w:rPr>
          <w:rFonts w:ascii="Arial" w:hAnsi="Arial" w:cs="Arial"/>
        </w:rPr>
        <w:t xml:space="preserve"> №130 «О налоге на имущество физических лиц исходя из кадастровой стоимости на территории Октябрьского сельского поселения Крыловского района» изложить в новой редакции:</w:t>
      </w:r>
    </w:p>
    <w:p w:rsidR="00156F17" w:rsidRDefault="000601C4" w:rsidP="006170A8">
      <w:pPr>
        <w:spacing w:line="240" w:lineRule="auto"/>
        <w:ind w:firstLine="709"/>
        <w:jc w:val="both"/>
      </w:pPr>
      <w:r w:rsidRPr="006170A8">
        <w:rPr>
          <w:rFonts w:ascii="Arial" w:hAnsi="Arial" w:cs="Arial"/>
        </w:rPr>
        <w:t>«</w:t>
      </w:r>
      <w:r w:rsidR="00143146" w:rsidRPr="006170A8">
        <w:rPr>
          <w:rFonts w:ascii="Arial" w:hAnsi="Arial" w:cs="Arial"/>
        </w:rPr>
        <w:t>4</w:t>
      </w:r>
      <w:r w:rsidR="00156F17" w:rsidRPr="006170A8">
        <w:rPr>
          <w:rFonts w:ascii="Arial" w:hAnsi="Arial" w:cs="Arial"/>
        </w:rPr>
        <w:t xml:space="preserve">. </w:t>
      </w:r>
      <w:r w:rsidR="00386968" w:rsidRPr="006170A8">
        <w:rPr>
          <w:rFonts w:ascii="Arial" w:hAnsi="Arial" w:cs="Arial"/>
        </w:rPr>
        <w:t>Установить налоговые ставки налога на имущество физических лиц</w:t>
      </w:r>
      <w:r w:rsidR="008366A7" w:rsidRPr="006170A8">
        <w:rPr>
          <w:rFonts w:ascii="Arial" w:hAnsi="Arial" w:cs="Arial"/>
        </w:rPr>
        <w:t xml:space="preserve"> исходя из кадастровой стоимости объектов налогообложения в следующих размерах</w:t>
      </w:r>
      <w:r w:rsidR="00156F17" w:rsidRPr="006170A8">
        <w:rPr>
          <w:rFonts w:ascii="Arial" w:hAnsi="Arial" w:cs="Arial"/>
        </w:rPr>
        <w:t>:</w:t>
      </w:r>
    </w:p>
    <w:tbl>
      <w:tblPr>
        <w:tblStyle w:val="a4"/>
        <w:tblW w:w="9601" w:type="dxa"/>
        <w:tblLook w:val="04A0"/>
      </w:tblPr>
      <w:tblGrid>
        <w:gridCol w:w="959"/>
        <w:gridCol w:w="6662"/>
        <w:gridCol w:w="1980"/>
      </w:tblGrid>
      <w:tr w:rsidR="008366A7" w:rsidRPr="005950DE" w:rsidTr="008366A7">
        <w:trPr>
          <w:trHeight w:val="311"/>
        </w:trPr>
        <w:tc>
          <w:tcPr>
            <w:tcW w:w="959" w:type="dxa"/>
          </w:tcPr>
          <w:p w:rsidR="008366A7" w:rsidRPr="006170A8" w:rsidRDefault="008366A7" w:rsidP="006170A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8366A7" w:rsidRPr="006170A8" w:rsidRDefault="008366A7" w:rsidP="006170A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1980" w:type="dxa"/>
          </w:tcPr>
          <w:p w:rsidR="008366A7" w:rsidRPr="006170A8" w:rsidRDefault="008366A7" w:rsidP="006170A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 xml:space="preserve">Налоговая </w:t>
            </w:r>
            <w:r w:rsidR="00950E98" w:rsidRPr="006170A8">
              <w:rPr>
                <w:rFonts w:ascii="Arial" w:hAnsi="Arial" w:cs="Arial"/>
                <w:sz w:val="24"/>
                <w:szCs w:val="24"/>
              </w:rPr>
              <w:t>ставка исходя</w:t>
            </w:r>
            <w:r w:rsidRPr="006170A8">
              <w:rPr>
                <w:rFonts w:ascii="Arial" w:hAnsi="Arial" w:cs="Arial"/>
                <w:sz w:val="24"/>
                <w:szCs w:val="24"/>
              </w:rPr>
              <w:t xml:space="preserve"> из кадастровой стоимости %</w:t>
            </w:r>
          </w:p>
        </w:tc>
      </w:tr>
      <w:tr w:rsidR="008366A7" w:rsidRPr="005950DE" w:rsidTr="006170A8">
        <w:trPr>
          <w:trHeight w:val="4101"/>
        </w:trPr>
        <w:tc>
          <w:tcPr>
            <w:tcW w:w="959" w:type="dxa"/>
          </w:tcPr>
          <w:p w:rsidR="008366A7" w:rsidRPr="006170A8" w:rsidRDefault="008366A7" w:rsidP="006170A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662" w:type="dxa"/>
          </w:tcPr>
          <w:p w:rsidR="008366A7" w:rsidRPr="006170A8" w:rsidRDefault="008366A7" w:rsidP="006170A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 xml:space="preserve">Жилые дома, части жилых домов, </w:t>
            </w:r>
            <w:r w:rsidR="0083436C" w:rsidRPr="006170A8">
              <w:rPr>
                <w:rFonts w:ascii="Arial" w:hAnsi="Arial" w:cs="Arial"/>
                <w:sz w:val="24"/>
                <w:szCs w:val="24"/>
              </w:rPr>
              <w:t xml:space="preserve">жилые помещения (квартиры, комнаты) </w:t>
            </w:r>
            <w:r w:rsidRPr="006170A8">
              <w:rPr>
                <w:rFonts w:ascii="Arial" w:hAnsi="Arial" w:cs="Arial"/>
                <w:sz w:val="24"/>
                <w:szCs w:val="24"/>
              </w:rPr>
              <w:t>части квартир;</w:t>
            </w:r>
          </w:p>
          <w:p w:rsidR="008366A7" w:rsidRPr="006170A8" w:rsidRDefault="008366A7" w:rsidP="006170A8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Единые недвижимые комплексы, в состав которых входит хотя бы</w:t>
            </w:r>
            <w:r w:rsidR="0083436C"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одно жилое помещение(</w:t>
            </w: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жилой дом</w:t>
            </w:r>
            <w:r w:rsidR="0083436C"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8366A7" w:rsidRPr="006170A8" w:rsidRDefault="008366A7" w:rsidP="006170A8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8366A7" w:rsidRPr="006170A8" w:rsidRDefault="008366A7" w:rsidP="006170A8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 xml:space="preserve">Гаражи и </w:t>
            </w:r>
            <w:proofErr w:type="spellStart"/>
            <w:r w:rsidRPr="006170A8">
              <w:rPr>
                <w:rFonts w:ascii="Arial" w:hAnsi="Arial" w:cs="Arial"/>
                <w:sz w:val="24"/>
                <w:szCs w:val="24"/>
              </w:rPr>
              <w:t>машино-мест</w:t>
            </w:r>
            <w:proofErr w:type="spellEnd"/>
            <w:r w:rsidRPr="006170A8">
              <w:rPr>
                <w:rFonts w:ascii="Arial" w:hAnsi="Arial" w:cs="Arial"/>
                <w:sz w:val="24"/>
                <w:szCs w:val="24"/>
              </w:rPr>
              <w:t>, в том числе расположенных в объектах налогообложения, указанных в строке 3 таблицы</w:t>
            </w: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8366A7" w:rsidRPr="006170A8" w:rsidRDefault="008366A7" w:rsidP="006170A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8366A7" w:rsidRPr="005950DE" w:rsidTr="00950E98">
        <w:trPr>
          <w:trHeight w:val="984"/>
        </w:trPr>
        <w:tc>
          <w:tcPr>
            <w:tcW w:w="959" w:type="dxa"/>
          </w:tcPr>
          <w:p w:rsidR="008366A7" w:rsidRPr="006170A8" w:rsidRDefault="008366A7" w:rsidP="006170A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8366A7" w:rsidRPr="006170A8" w:rsidRDefault="008366A7" w:rsidP="006170A8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8366A7" w:rsidRPr="006170A8" w:rsidRDefault="008366A7" w:rsidP="006170A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8366A7" w:rsidRPr="005950DE" w:rsidTr="008366A7">
        <w:trPr>
          <w:trHeight w:val="981"/>
        </w:trPr>
        <w:tc>
          <w:tcPr>
            <w:tcW w:w="959" w:type="dxa"/>
          </w:tcPr>
          <w:p w:rsidR="008366A7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950E98" w:rsidRPr="006170A8" w:rsidRDefault="00950E98" w:rsidP="006170A8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366A7"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бъекты налогообложения, включенные в перечень, определяемый в соответствии с пунктом 7 статьи 378.2 </w:t>
            </w:r>
            <w:r w:rsidR="008366A7" w:rsidRPr="006170A8">
              <w:rPr>
                <w:rFonts w:ascii="Arial" w:hAnsi="Arial" w:cs="Arial"/>
                <w:sz w:val="24"/>
                <w:szCs w:val="24"/>
              </w:rPr>
              <w:t>Налогового кодекса Российской Федерации</w:t>
            </w:r>
            <w:r w:rsidRPr="006170A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366A7" w:rsidRPr="006170A8" w:rsidRDefault="00950E98" w:rsidP="006170A8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="008366A7"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бъект</w:t>
            </w: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="008366A7"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налогообложения, предусмотренных абзацем вторым пункта 10 статьи 378.2 </w:t>
            </w:r>
            <w:r w:rsidR="008366A7" w:rsidRPr="006170A8">
              <w:rPr>
                <w:rFonts w:ascii="Arial" w:hAnsi="Arial" w:cs="Arial"/>
                <w:sz w:val="24"/>
                <w:szCs w:val="24"/>
              </w:rPr>
              <w:t>Налогового кодекса Российской Федерации</w:t>
            </w:r>
            <w:r w:rsidR="008366A7"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; </w:t>
            </w:r>
          </w:p>
          <w:p w:rsidR="00950E98" w:rsidRPr="006170A8" w:rsidRDefault="00950E98" w:rsidP="006170A8">
            <w:pPr>
              <w:pStyle w:val="a3"/>
              <w:numPr>
                <w:ilvl w:val="0"/>
                <w:numId w:val="6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О</w:t>
            </w:r>
            <w:r w:rsidRPr="006170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бъекты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1980" w:type="dxa"/>
          </w:tcPr>
          <w:p w:rsidR="008366A7" w:rsidRPr="006170A8" w:rsidRDefault="00950E98" w:rsidP="006170A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8366A7" w:rsidRPr="005950DE" w:rsidTr="008366A7">
        <w:trPr>
          <w:trHeight w:val="327"/>
        </w:trPr>
        <w:tc>
          <w:tcPr>
            <w:tcW w:w="959" w:type="dxa"/>
          </w:tcPr>
          <w:p w:rsidR="008366A7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8366A7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П</w:t>
            </w:r>
            <w:r w:rsidR="008366A7" w:rsidRPr="006170A8">
              <w:rPr>
                <w:rFonts w:ascii="Arial" w:hAnsi="Arial" w:cs="Arial"/>
                <w:sz w:val="24"/>
                <w:szCs w:val="24"/>
              </w:rPr>
              <w:t>рочие</w:t>
            </w:r>
            <w:r w:rsidRPr="006170A8">
              <w:rPr>
                <w:rFonts w:ascii="Arial" w:hAnsi="Arial" w:cs="Arial"/>
                <w:sz w:val="24"/>
                <w:szCs w:val="24"/>
              </w:rPr>
              <w:t xml:space="preserve"> объекты налогообложения</w:t>
            </w:r>
          </w:p>
        </w:tc>
        <w:tc>
          <w:tcPr>
            <w:tcW w:w="1980" w:type="dxa"/>
          </w:tcPr>
          <w:p w:rsidR="008366A7" w:rsidRPr="006170A8" w:rsidRDefault="008366A7" w:rsidP="006170A8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0A8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306751" w:rsidRDefault="00927AE5" w:rsidP="005950DE">
      <w:pPr>
        <w:spacing w:line="240" w:lineRule="auto"/>
        <w:jc w:val="both"/>
        <w:rPr>
          <w:rFonts w:cs="Times New Roman"/>
          <w:sz w:val="28"/>
          <w:szCs w:val="28"/>
        </w:rPr>
      </w:pPr>
      <w:r w:rsidRPr="005950DE">
        <w:rPr>
          <w:rFonts w:cs="Times New Roman"/>
          <w:sz w:val="28"/>
          <w:szCs w:val="28"/>
        </w:rPr>
        <w:tab/>
      </w:r>
    </w:p>
    <w:p w:rsidR="00950E98" w:rsidRPr="006170A8" w:rsidRDefault="00950E98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Дополнить Решение пунктом 4.1. следующего содержания:</w:t>
      </w:r>
    </w:p>
    <w:p w:rsidR="00950E98" w:rsidRPr="006170A8" w:rsidRDefault="00950E98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«4.1.Установить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tbl>
      <w:tblPr>
        <w:tblStyle w:val="a4"/>
        <w:tblW w:w="9601" w:type="dxa"/>
        <w:tblLook w:val="04A0"/>
      </w:tblPr>
      <w:tblGrid>
        <w:gridCol w:w="959"/>
        <w:gridCol w:w="6662"/>
        <w:gridCol w:w="1980"/>
      </w:tblGrid>
      <w:tr w:rsidR="00950E98" w:rsidRPr="006170A8" w:rsidTr="008D1BD0">
        <w:trPr>
          <w:trHeight w:val="311"/>
        </w:trPr>
        <w:tc>
          <w:tcPr>
            <w:tcW w:w="959" w:type="dxa"/>
          </w:tcPr>
          <w:p w:rsidR="00950E98" w:rsidRPr="006170A8" w:rsidRDefault="00950E98" w:rsidP="008D1BD0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№</w:t>
            </w:r>
          </w:p>
        </w:tc>
        <w:tc>
          <w:tcPr>
            <w:tcW w:w="6662" w:type="dxa"/>
          </w:tcPr>
          <w:p w:rsidR="00950E98" w:rsidRPr="006170A8" w:rsidRDefault="00950E98" w:rsidP="008D1BD0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Объекты налогообложения</w:t>
            </w:r>
          </w:p>
        </w:tc>
        <w:tc>
          <w:tcPr>
            <w:tcW w:w="1980" w:type="dxa"/>
          </w:tcPr>
          <w:p w:rsidR="00950E98" w:rsidRPr="006170A8" w:rsidRDefault="00950E98" w:rsidP="008D1BD0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Налоговая ставка исходя из кадастровой стоимости %</w:t>
            </w:r>
          </w:p>
        </w:tc>
      </w:tr>
      <w:tr w:rsidR="00950E98" w:rsidRPr="006170A8" w:rsidTr="006170A8">
        <w:trPr>
          <w:trHeight w:val="3958"/>
        </w:trPr>
        <w:tc>
          <w:tcPr>
            <w:tcW w:w="959" w:type="dxa"/>
          </w:tcPr>
          <w:p w:rsidR="00950E98" w:rsidRPr="006170A8" w:rsidRDefault="00950E98" w:rsidP="008D1BD0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6662" w:type="dxa"/>
          </w:tcPr>
          <w:p w:rsidR="00950E98" w:rsidRPr="006170A8" w:rsidRDefault="00950E98" w:rsidP="00950E98">
            <w:pPr>
              <w:pStyle w:val="a3"/>
              <w:numPr>
                <w:ilvl w:val="0"/>
                <w:numId w:val="8"/>
              </w:numPr>
              <w:ind w:left="34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Жилые дома, части жилых домов, квартиры, части квартир, комнаты;</w:t>
            </w:r>
          </w:p>
          <w:p w:rsidR="00950E98" w:rsidRPr="006170A8" w:rsidRDefault="00950E98" w:rsidP="00950E98">
            <w:pPr>
              <w:pStyle w:val="a6"/>
              <w:numPr>
                <w:ilvl w:val="0"/>
                <w:numId w:val="8"/>
              </w:numPr>
              <w:ind w:left="34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Единые недвижимые комплексы, в состав которых входит хотя бы один жилой дом;</w:t>
            </w:r>
          </w:p>
          <w:p w:rsidR="00950E98" w:rsidRPr="006170A8" w:rsidRDefault="00950E98" w:rsidP="00950E98">
            <w:pPr>
              <w:pStyle w:val="a6"/>
              <w:numPr>
                <w:ilvl w:val="0"/>
                <w:numId w:val="8"/>
              </w:numPr>
              <w:ind w:left="34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950E98" w:rsidRPr="006170A8" w:rsidRDefault="00950E98" w:rsidP="00950E98">
            <w:pPr>
              <w:pStyle w:val="a6"/>
              <w:numPr>
                <w:ilvl w:val="0"/>
                <w:numId w:val="8"/>
              </w:numPr>
              <w:ind w:left="34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 xml:space="preserve">Гаражи и </w:t>
            </w:r>
            <w:proofErr w:type="spellStart"/>
            <w:r w:rsidRPr="006170A8">
              <w:rPr>
                <w:rFonts w:ascii="Arial" w:hAnsi="Arial" w:cs="Arial"/>
                <w:sz w:val="24"/>
                <w:szCs w:val="28"/>
              </w:rPr>
              <w:t>машино-мест</w:t>
            </w:r>
            <w:proofErr w:type="spellEnd"/>
            <w:r w:rsidRPr="006170A8">
              <w:rPr>
                <w:rFonts w:ascii="Arial" w:hAnsi="Arial" w:cs="Arial"/>
                <w:sz w:val="24"/>
                <w:szCs w:val="28"/>
              </w:rPr>
              <w:t>, в том числе расположенных в объектах налогообложения, указанных в строке 3 таблицы</w:t>
            </w: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0" w:type="dxa"/>
          </w:tcPr>
          <w:p w:rsidR="00950E98" w:rsidRPr="006170A8" w:rsidRDefault="00950E98" w:rsidP="008D1BD0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0,1</w:t>
            </w:r>
          </w:p>
        </w:tc>
      </w:tr>
      <w:tr w:rsidR="00950E98" w:rsidRPr="006170A8" w:rsidTr="008D1BD0">
        <w:trPr>
          <w:trHeight w:val="984"/>
        </w:trPr>
        <w:tc>
          <w:tcPr>
            <w:tcW w:w="959" w:type="dxa"/>
          </w:tcPr>
          <w:p w:rsidR="00950E98" w:rsidRPr="006170A8" w:rsidRDefault="00950E98" w:rsidP="008D1BD0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lastRenderedPageBreak/>
              <w:t>2</w:t>
            </w:r>
          </w:p>
        </w:tc>
        <w:tc>
          <w:tcPr>
            <w:tcW w:w="6662" w:type="dxa"/>
          </w:tcPr>
          <w:p w:rsidR="00950E98" w:rsidRPr="006170A8" w:rsidRDefault="00950E98" w:rsidP="00950E98">
            <w:pPr>
              <w:pStyle w:val="a3"/>
              <w:numPr>
                <w:ilvl w:val="0"/>
                <w:numId w:val="9"/>
              </w:numPr>
              <w:ind w:left="34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0" w:type="dxa"/>
          </w:tcPr>
          <w:p w:rsidR="00950E98" w:rsidRPr="006170A8" w:rsidRDefault="00950E98" w:rsidP="008D1BD0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0,1</w:t>
            </w:r>
          </w:p>
        </w:tc>
      </w:tr>
      <w:tr w:rsidR="00950E98" w:rsidRPr="006170A8" w:rsidTr="008D1BD0">
        <w:trPr>
          <w:trHeight w:val="981"/>
        </w:trPr>
        <w:tc>
          <w:tcPr>
            <w:tcW w:w="959" w:type="dxa"/>
          </w:tcPr>
          <w:p w:rsidR="00950E98" w:rsidRPr="006170A8" w:rsidRDefault="00950E98" w:rsidP="008D1BD0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6662" w:type="dxa"/>
          </w:tcPr>
          <w:p w:rsidR="00950E98" w:rsidRPr="006170A8" w:rsidRDefault="00950E98" w:rsidP="00950E98">
            <w:pPr>
              <w:pStyle w:val="a3"/>
              <w:numPr>
                <w:ilvl w:val="0"/>
                <w:numId w:val="10"/>
              </w:numPr>
              <w:ind w:left="34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Объекты налогообложения, включенные в перечень, определяемый в соответствии с пунктом 7 статьи 378.2 </w:t>
            </w:r>
            <w:r w:rsidRPr="006170A8">
              <w:rPr>
                <w:rFonts w:ascii="Arial" w:hAnsi="Arial" w:cs="Arial"/>
                <w:sz w:val="24"/>
                <w:szCs w:val="28"/>
              </w:rPr>
              <w:t>Налогового кодекса Российской Федерации;</w:t>
            </w:r>
          </w:p>
          <w:p w:rsidR="00950E98" w:rsidRPr="006170A8" w:rsidRDefault="00950E98" w:rsidP="00950E98">
            <w:pPr>
              <w:pStyle w:val="a3"/>
              <w:numPr>
                <w:ilvl w:val="0"/>
                <w:numId w:val="10"/>
              </w:numPr>
              <w:ind w:left="34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Объекты налогообложения, предусмотренных абзацем вторым пункта 10 статьи 378.2 </w:t>
            </w:r>
            <w:r w:rsidRPr="006170A8">
              <w:rPr>
                <w:rFonts w:ascii="Arial" w:hAnsi="Arial" w:cs="Arial"/>
                <w:sz w:val="24"/>
                <w:szCs w:val="28"/>
              </w:rPr>
              <w:t>Налогового кодекса Российской Федерации</w:t>
            </w: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; </w:t>
            </w:r>
          </w:p>
          <w:p w:rsidR="00950E98" w:rsidRPr="006170A8" w:rsidRDefault="00950E98" w:rsidP="00950E98">
            <w:pPr>
              <w:pStyle w:val="a3"/>
              <w:numPr>
                <w:ilvl w:val="0"/>
                <w:numId w:val="10"/>
              </w:numPr>
              <w:ind w:left="34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О</w:t>
            </w: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бъекты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1980" w:type="dxa"/>
          </w:tcPr>
          <w:p w:rsidR="00950E98" w:rsidRPr="006170A8" w:rsidRDefault="00950E98" w:rsidP="008D1BD0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0,5</w:t>
            </w:r>
          </w:p>
        </w:tc>
      </w:tr>
      <w:tr w:rsidR="00950E98" w:rsidRPr="006170A8" w:rsidTr="008D1BD0">
        <w:trPr>
          <w:trHeight w:val="327"/>
        </w:trPr>
        <w:tc>
          <w:tcPr>
            <w:tcW w:w="959" w:type="dxa"/>
          </w:tcPr>
          <w:p w:rsidR="00950E98" w:rsidRPr="006170A8" w:rsidRDefault="00950E98" w:rsidP="008D1BD0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6662" w:type="dxa"/>
          </w:tcPr>
          <w:p w:rsidR="00950E98" w:rsidRPr="006170A8" w:rsidRDefault="00950E98" w:rsidP="008D1BD0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Прочие объекты налогообложения</w:t>
            </w:r>
          </w:p>
        </w:tc>
        <w:tc>
          <w:tcPr>
            <w:tcW w:w="1980" w:type="dxa"/>
          </w:tcPr>
          <w:p w:rsidR="00950E98" w:rsidRPr="006170A8" w:rsidRDefault="00950E98" w:rsidP="008D1BD0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0,5</w:t>
            </w:r>
          </w:p>
        </w:tc>
      </w:tr>
    </w:tbl>
    <w:p w:rsidR="00950E98" w:rsidRDefault="00950E98" w:rsidP="00950E98">
      <w:pPr>
        <w:pStyle w:val="a6"/>
        <w:spacing w:line="240" w:lineRule="auto"/>
        <w:ind w:left="0" w:firstLine="851"/>
        <w:jc w:val="both"/>
        <w:rPr>
          <w:rFonts w:cs="Times New Roman"/>
          <w:sz w:val="28"/>
          <w:szCs w:val="28"/>
        </w:rPr>
      </w:pPr>
    </w:p>
    <w:p w:rsidR="00950E98" w:rsidRPr="006170A8" w:rsidRDefault="00950E98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Дополнить Решение пунктом 4.2. следующего содержания:</w:t>
      </w:r>
    </w:p>
    <w:p w:rsidR="00950E98" w:rsidRPr="006170A8" w:rsidRDefault="00950E98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«4.2.Установить налоговые ставки налога на имущество физических лиц исходя из кадастровой стоимости объектов налогообложения в следующих размерах:</w:t>
      </w:r>
    </w:p>
    <w:tbl>
      <w:tblPr>
        <w:tblStyle w:val="a4"/>
        <w:tblW w:w="9601" w:type="dxa"/>
        <w:tblLook w:val="04A0"/>
      </w:tblPr>
      <w:tblGrid>
        <w:gridCol w:w="959"/>
        <w:gridCol w:w="6662"/>
        <w:gridCol w:w="1980"/>
      </w:tblGrid>
      <w:tr w:rsidR="00950E98" w:rsidRPr="005950DE" w:rsidTr="008D1BD0">
        <w:trPr>
          <w:trHeight w:val="311"/>
        </w:trPr>
        <w:tc>
          <w:tcPr>
            <w:tcW w:w="959" w:type="dxa"/>
          </w:tcPr>
          <w:p w:rsidR="00950E98" w:rsidRPr="006170A8" w:rsidRDefault="00950E98" w:rsidP="006170A8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№</w:t>
            </w:r>
          </w:p>
        </w:tc>
        <w:tc>
          <w:tcPr>
            <w:tcW w:w="6662" w:type="dxa"/>
          </w:tcPr>
          <w:p w:rsidR="00950E98" w:rsidRPr="006170A8" w:rsidRDefault="00950E98" w:rsidP="006170A8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Объекты налогообложения</w:t>
            </w:r>
          </w:p>
        </w:tc>
        <w:tc>
          <w:tcPr>
            <w:tcW w:w="1980" w:type="dxa"/>
          </w:tcPr>
          <w:p w:rsidR="00950E98" w:rsidRPr="006170A8" w:rsidRDefault="00950E98" w:rsidP="006170A8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Налоговая ставка исходя из кадастровой стоимости %</w:t>
            </w:r>
          </w:p>
        </w:tc>
      </w:tr>
      <w:tr w:rsidR="00950E98" w:rsidRPr="005950DE" w:rsidTr="006170A8">
        <w:trPr>
          <w:trHeight w:val="4108"/>
        </w:trPr>
        <w:tc>
          <w:tcPr>
            <w:tcW w:w="959" w:type="dxa"/>
          </w:tcPr>
          <w:p w:rsidR="00950E98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6662" w:type="dxa"/>
          </w:tcPr>
          <w:p w:rsidR="00950E98" w:rsidRPr="006170A8" w:rsidRDefault="00950E98" w:rsidP="006170A8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Жилые дома, части жилых домов, квартиры, части квартир, комнаты;</w:t>
            </w:r>
          </w:p>
          <w:p w:rsidR="00950E98" w:rsidRPr="006170A8" w:rsidRDefault="00950E98" w:rsidP="006170A8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Единые недвижимые комплексы, в состав которых входит хотя бы один жилой дом;</w:t>
            </w:r>
          </w:p>
          <w:p w:rsidR="00950E98" w:rsidRPr="006170A8" w:rsidRDefault="00950E98" w:rsidP="006170A8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950E98" w:rsidRPr="006170A8" w:rsidRDefault="00950E98" w:rsidP="006170A8">
            <w:pPr>
              <w:pStyle w:val="a6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 xml:space="preserve">Гаражи и </w:t>
            </w:r>
            <w:proofErr w:type="spellStart"/>
            <w:r w:rsidRPr="006170A8">
              <w:rPr>
                <w:rFonts w:ascii="Arial" w:hAnsi="Arial" w:cs="Arial"/>
                <w:sz w:val="24"/>
                <w:szCs w:val="28"/>
              </w:rPr>
              <w:t>машино-мест</w:t>
            </w:r>
            <w:proofErr w:type="spellEnd"/>
            <w:r w:rsidRPr="006170A8">
              <w:rPr>
                <w:rFonts w:ascii="Arial" w:hAnsi="Arial" w:cs="Arial"/>
                <w:sz w:val="24"/>
                <w:szCs w:val="28"/>
              </w:rPr>
              <w:t>, в том числе расположенных в объектах налогообложения, указанных в строке 3 таблицы</w:t>
            </w: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0" w:type="dxa"/>
          </w:tcPr>
          <w:p w:rsidR="00950E98" w:rsidRPr="006170A8" w:rsidRDefault="00950E98" w:rsidP="006170A8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0,1</w:t>
            </w:r>
          </w:p>
        </w:tc>
      </w:tr>
      <w:tr w:rsidR="00950E98" w:rsidRPr="005950DE" w:rsidTr="008D1BD0">
        <w:trPr>
          <w:trHeight w:val="984"/>
        </w:trPr>
        <w:tc>
          <w:tcPr>
            <w:tcW w:w="959" w:type="dxa"/>
          </w:tcPr>
          <w:p w:rsidR="00950E98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6662" w:type="dxa"/>
          </w:tcPr>
          <w:p w:rsidR="00950E98" w:rsidRPr="006170A8" w:rsidRDefault="00950E98" w:rsidP="006170A8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80" w:type="dxa"/>
          </w:tcPr>
          <w:p w:rsidR="00950E98" w:rsidRPr="006170A8" w:rsidRDefault="00950E98" w:rsidP="006170A8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0,1</w:t>
            </w:r>
          </w:p>
        </w:tc>
      </w:tr>
      <w:tr w:rsidR="00950E98" w:rsidRPr="005950DE" w:rsidTr="006170A8">
        <w:trPr>
          <w:trHeight w:val="557"/>
        </w:trPr>
        <w:tc>
          <w:tcPr>
            <w:tcW w:w="959" w:type="dxa"/>
          </w:tcPr>
          <w:p w:rsidR="00950E98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6662" w:type="dxa"/>
          </w:tcPr>
          <w:p w:rsidR="00950E98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1.Объекты налогообложения, включенные в перечень, определяемый в соответствии с пунктом 7 статьи 378.2 </w:t>
            </w:r>
            <w:r w:rsidRPr="006170A8">
              <w:rPr>
                <w:rFonts w:ascii="Arial" w:hAnsi="Arial" w:cs="Arial"/>
                <w:sz w:val="24"/>
                <w:szCs w:val="28"/>
              </w:rPr>
              <w:t>Налогового кодекса Российской Федерации;</w:t>
            </w:r>
          </w:p>
          <w:p w:rsidR="00950E98" w:rsidRPr="006170A8" w:rsidRDefault="00950E98" w:rsidP="006170A8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Объекты налогообложения, предусмотренных абзацем вторым пункта 10 статьи 378.2 </w:t>
            </w:r>
            <w:r w:rsidRPr="006170A8">
              <w:rPr>
                <w:rFonts w:ascii="Arial" w:hAnsi="Arial" w:cs="Arial"/>
                <w:sz w:val="24"/>
                <w:szCs w:val="28"/>
              </w:rPr>
              <w:t>Налогового кодекса Российской Федерации</w:t>
            </w: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; </w:t>
            </w:r>
          </w:p>
          <w:p w:rsidR="00950E98" w:rsidRPr="006170A8" w:rsidRDefault="00950E98" w:rsidP="006170A8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О</w:t>
            </w:r>
            <w:r w:rsidRPr="006170A8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бъекты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1980" w:type="dxa"/>
          </w:tcPr>
          <w:p w:rsidR="00950E98" w:rsidRPr="006170A8" w:rsidRDefault="00950E98" w:rsidP="006170A8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1</w:t>
            </w:r>
          </w:p>
        </w:tc>
      </w:tr>
      <w:tr w:rsidR="00950E98" w:rsidRPr="005950DE" w:rsidTr="008D1BD0">
        <w:trPr>
          <w:trHeight w:val="327"/>
        </w:trPr>
        <w:tc>
          <w:tcPr>
            <w:tcW w:w="959" w:type="dxa"/>
          </w:tcPr>
          <w:p w:rsidR="00950E98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lastRenderedPageBreak/>
              <w:t>3</w:t>
            </w:r>
          </w:p>
        </w:tc>
        <w:tc>
          <w:tcPr>
            <w:tcW w:w="6662" w:type="dxa"/>
          </w:tcPr>
          <w:p w:rsidR="00950E98" w:rsidRPr="006170A8" w:rsidRDefault="00950E98" w:rsidP="006170A8">
            <w:pPr>
              <w:pStyle w:val="a3"/>
              <w:jc w:val="both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Прочие объекты налогообложения</w:t>
            </w:r>
          </w:p>
        </w:tc>
        <w:tc>
          <w:tcPr>
            <w:tcW w:w="1980" w:type="dxa"/>
          </w:tcPr>
          <w:p w:rsidR="00950E98" w:rsidRPr="006170A8" w:rsidRDefault="00950E98" w:rsidP="006170A8">
            <w:pPr>
              <w:pStyle w:val="a3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170A8">
              <w:rPr>
                <w:rFonts w:ascii="Arial" w:hAnsi="Arial" w:cs="Arial"/>
                <w:sz w:val="24"/>
                <w:szCs w:val="28"/>
              </w:rPr>
              <w:t>0,5</w:t>
            </w:r>
          </w:p>
        </w:tc>
      </w:tr>
    </w:tbl>
    <w:p w:rsidR="00F821CD" w:rsidRDefault="00F821CD" w:rsidP="00BB43F3">
      <w:pPr>
        <w:spacing w:line="240" w:lineRule="auto"/>
        <w:ind w:firstLine="851"/>
        <w:jc w:val="both"/>
        <w:rPr>
          <w:rFonts w:cs="Times New Roman"/>
          <w:sz w:val="28"/>
          <w:szCs w:val="28"/>
        </w:rPr>
      </w:pPr>
    </w:p>
    <w:p w:rsidR="00E450C5" w:rsidRPr="006170A8" w:rsidRDefault="00BB43F3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2</w:t>
      </w:r>
      <w:r w:rsidR="00E450C5" w:rsidRPr="006170A8">
        <w:rPr>
          <w:rFonts w:ascii="Arial" w:hAnsi="Arial" w:cs="Arial"/>
        </w:rPr>
        <w:t>. МКУ «Управление ОДОМС» администрации Октябрьского сельского поселения Крыловского района (Минаев) разместить настоящее решение на официальном сайте администрации Октябрьского сельского поселения Крыловского района в сети «Интернет».</w:t>
      </w:r>
    </w:p>
    <w:p w:rsidR="00E450C5" w:rsidRPr="006170A8" w:rsidRDefault="00BB43F3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3</w:t>
      </w:r>
      <w:r w:rsidR="00E450C5" w:rsidRPr="006170A8">
        <w:rPr>
          <w:rFonts w:ascii="Arial" w:hAnsi="Arial" w:cs="Arial"/>
        </w:rPr>
        <w:t>. Общему отделу администрации Октябрьского сельского поселения Крыловского района (</w:t>
      </w:r>
      <w:r w:rsidR="00526E95" w:rsidRPr="006170A8">
        <w:rPr>
          <w:rFonts w:ascii="Arial" w:hAnsi="Arial" w:cs="Arial"/>
        </w:rPr>
        <w:t>Егунова</w:t>
      </w:r>
      <w:r w:rsidR="00E450C5" w:rsidRPr="006170A8">
        <w:rPr>
          <w:rFonts w:ascii="Arial" w:hAnsi="Arial" w:cs="Arial"/>
        </w:rPr>
        <w:t>) опубликовать  настоящее решение в газете «Авангард».</w:t>
      </w:r>
    </w:p>
    <w:p w:rsidR="00E450C5" w:rsidRPr="006170A8" w:rsidRDefault="00BB43F3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4</w:t>
      </w:r>
      <w:r w:rsidR="00E450C5" w:rsidRPr="006170A8">
        <w:rPr>
          <w:rFonts w:ascii="Arial" w:hAnsi="Arial" w:cs="Arial"/>
        </w:rPr>
        <w:t xml:space="preserve">.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</w:t>
      </w:r>
      <w:r w:rsidR="00B6056B" w:rsidRPr="006170A8">
        <w:rPr>
          <w:rFonts w:ascii="Arial" w:hAnsi="Arial" w:cs="Arial"/>
        </w:rPr>
        <w:t>И</w:t>
      </w:r>
      <w:r w:rsidR="00E450C5" w:rsidRPr="006170A8">
        <w:rPr>
          <w:rFonts w:ascii="Arial" w:hAnsi="Arial" w:cs="Arial"/>
        </w:rPr>
        <w:t>.М.</w:t>
      </w:r>
      <w:r w:rsidR="00B6056B" w:rsidRPr="006170A8">
        <w:rPr>
          <w:rFonts w:ascii="Arial" w:hAnsi="Arial" w:cs="Arial"/>
        </w:rPr>
        <w:t xml:space="preserve"> Ильченко</w:t>
      </w:r>
      <w:r w:rsidR="00E450C5" w:rsidRPr="006170A8">
        <w:rPr>
          <w:rFonts w:ascii="Arial" w:hAnsi="Arial" w:cs="Arial"/>
        </w:rPr>
        <w:t>.</w:t>
      </w:r>
    </w:p>
    <w:p w:rsidR="00B6056B" w:rsidRPr="006170A8" w:rsidRDefault="00BB43F3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5</w:t>
      </w:r>
      <w:r w:rsidR="00E450C5" w:rsidRPr="006170A8">
        <w:rPr>
          <w:rFonts w:ascii="Arial" w:hAnsi="Arial" w:cs="Arial"/>
        </w:rPr>
        <w:t xml:space="preserve">. </w:t>
      </w:r>
      <w:r w:rsidR="00B6056B" w:rsidRPr="006170A8">
        <w:rPr>
          <w:rFonts w:ascii="Arial" w:hAnsi="Arial" w:cs="Arial"/>
        </w:rPr>
        <w:t>Подпункт 1.1 пункта 1 настоящего решения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2017 года по 31 декабря 2017 года.</w:t>
      </w:r>
    </w:p>
    <w:p w:rsidR="00B6056B" w:rsidRPr="006170A8" w:rsidRDefault="00B6056B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6. Подпункт 1.2 пункта 1 настоящего решения вступает в силу со дня его официального опубликования и распространяется на правоотношения, возникшие с 1 января 2018 года.</w:t>
      </w:r>
    </w:p>
    <w:p w:rsidR="00B6056B" w:rsidRPr="006170A8" w:rsidRDefault="00B6056B" w:rsidP="006170A8">
      <w:pPr>
        <w:spacing w:line="240" w:lineRule="auto"/>
        <w:ind w:firstLine="709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7. Подпункт 1.3 пункта 1 настоящего решения вступает в силу с 1 января 2019 года, но не ранее чем по истечении одного месяца со дня его официального опубликования.</w:t>
      </w:r>
    </w:p>
    <w:p w:rsidR="00140AE3" w:rsidRPr="006170A8" w:rsidRDefault="00140AE3" w:rsidP="006170A8">
      <w:pPr>
        <w:spacing w:line="240" w:lineRule="auto"/>
        <w:jc w:val="both"/>
        <w:rPr>
          <w:rFonts w:ascii="Arial" w:hAnsi="Arial" w:cs="Arial"/>
        </w:rPr>
      </w:pPr>
    </w:p>
    <w:p w:rsidR="006170A8" w:rsidRPr="006170A8" w:rsidRDefault="006170A8" w:rsidP="006170A8">
      <w:pPr>
        <w:spacing w:line="240" w:lineRule="auto"/>
        <w:jc w:val="both"/>
        <w:rPr>
          <w:rFonts w:ascii="Arial" w:hAnsi="Arial" w:cs="Arial"/>
        </w:rPr>
      </w:pPr>
    </w:p>
    <w:p w:rsidR="00140AE3" w:rsidRPr="006170A8" w:rsidRDefault="00140AE3" w:rsidP="006170A8">
      <w:pPr>
        <w:spacing w:line="240" w:lineRule="auto"/>
        <w:jc w:val="both"/>
        <w:rPr>
          <w:rFonts w:ascii="Arial" w:hAnsi="Arial" w:cs="Arial"/>
        </w:rPr>
      </w:pPr>
    </w:p>
    <w:p w:rsidR="00F821CD" w:rsidRPr="006170A8" w:rsidRDefault="00F821CD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Заместитель п</w:t>
      </w:r>
      <w:r w:rsidR="00B6056B" w:rsidRPr="006170A8">
        <w:rPr>
          <w:rFonts w:ascii="Arial" w:hAnsi="Arial" w:cs="Arial"/>
        </w:rPr>
        <w:t>редседател</w:t>
      </w:r>
      <w:r w:rsidRPr="006170A8">
        <w:rPr>
          <w:rFonts w:ascii="Arial" w:hAnsi="Arial" w:cs="Arial"/>
        </w:rPr>
        <w:t>я</w:t>
      </w:r>
    </w:p>
    <w:p w:rsidR="00F821CD" w:rsidRPr="006170A8" w:rsidRDefault="00B6056B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Совета</w:t>
      </w:r>
      <w:r w:rsidR="00E450C5" w:rsidRPr="006170A8">
        <w:rPr>
          <w:rFonts w:ascii="Arial" w:hAnsi="Arial" w:cs="Arial"/>
        </w:rPr>
        <w:t xml:space="preserve"> Октябрьского </w:t>
      </w:r>
    </w:p>
    <w:p w:rsidR="00E450C5" w:rsidRPr="006170A8" w:rsidRDefault="00E450C5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сельского поселения</w:t>
      </w:r>
    </w:p>
    <w:p w:rsidR="006170A8" w:rsidRPr="006170A8" w:rsidRDefault="00E450C5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 xml:space="preserve">Крыловского района                                                                      </w:t>
      </w:r>
      <w:r w:rsidR="00F821CD" w:rsidRPr="006170A8">
        <w:rPr>
          <w:rFonts w:ascii="Arial" w:hAnsi="Arial" w:cs="Arial"/>
        </w:rPr>
        <w:t xml:space="preserve"> </w:t>
      </w:r>
    </w:p>
    <w:p w:rsidR="00E450C5" w:rsidRPr="006170A8" w:rsidRDefault="00F821CD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 xml:space="preserve">О.М. </w:t>
      </w:r>
      <w:proofErr w:type="spellStart"/>
      <w:r w:rsidRPr="006170A8">
        <w:rPr>
          <w:rFonts w:ascii="Arial" w:hAnsi="Arial" w:cs="Arial"/>
        </w:rPr>
        <w:t>Выглай</w:t>
      </w:r>
      <w:proofErr w:type="spellEnd"/>
    </w:p>
    <w:p w:rsidR="00304DED" w:rsidRPr="006170A8" w:rsidRDefault="00304DED" w:rsidP="006170A8">
      <w:pPr>
        <w:spacing w:line="240" w:lineRule="auto"/>
        <w:jc w:val="both"/>
        <w:rPr>
          <w:rFonts w:ascii="Arial" w:hAnsi="Arial" w:cs="Arial"/>
        </w:rPr>
      </w:pPr>
    </w:p>
    <w:p w:rsidR="00140AE3" w:rsidRPr="006170A8" w:rsidRDefault="00140AE3" w:rsidP="006170A8">
      <w:pPr>
        <w:spacing w:line="240" w:lineRule="auto"/>
        <w:jc w:val="both"/>
        <w:rPr>
          <w:rFonts w:ascii="Arial" w:hAnsi="Arial" w:cs="Arial"/>
        </w:rPr>
      </w:pPr>
    </w:p>
    <w:p w:rsidR="006170A8" w:rsidRPr="006170A8" w:rsidRDefault="006170A8" w:rsidP="006170A8">
      <w:pPr>
        <w:spacing w:line="240" w:lineRule="auto"/>
        <w:jc w:val="both"/>
        <w:rPr>
          <w:rFonts w:ascii="Arial" w:hAnsi="Arial" w:cs="Arial"/>
        </w:rPr>
      </w:pPr>
    </w:p>
    <w:p w:rsidR="00F821CD" w:rsidRPr="006170A8" w:rsidRDefault="00F821CD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Исполняющий обязанности</w:t>
      </w:r>
    </w:p>
    <w:p w:rsidR="00E450C5" w:rsidRPr="006170A8" w:rsidRDefault="00F821CD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г</w:t>
      </w:r>
      <w:r w:rsidR="00E450C5" w:rsidRPr="006170A8">
        <w:rPr>
          <w:rFonts w:ascii="Arial" w:hAnsi="Arial" w:cs="Arial"/>
        </w:rPr>
        <w:t>лав</w:t>
      </w:r>
      <w:r w:rsidRPr="006170A8">
        <w:rPr>
          <w:rFonts w:ascii="Arial" w:hAnsi="Arial" w:cs="Arial"/>
        </w:rPr>
        <w:t>ы</w:t>
      </w:r>
      <w:r w:rsidR="00E450C5" w:rsidRPr="006170A8">
        <w:rPr>
          <w:rFonts w:ascii="Arial" w:hAnsi="Arial" w:cs="Arial"/>
        </w:rPr>
        <w:t xml:space="preserve"> Октябрьского</w:t>
      </w:r>
    </w:p>
    <w:p w:rsidR="00E450C5" w:rsidRPr="006170A8" w:rsidRDefault="00E450C5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сельского поселения</w:t>
      </w:r>
    </w:p>
    <w:p w:rsidR="006170A8" w:rsidRPr="006170A8" w:rsidRDefault="00E450C5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 xml:space="preserve">Крыловского района                                                   </w:t>
      </w:r>
      <w:r w:rsidR="00F821CD" w:rsidRPr="006170A8">
        <w:rPr>
          <w:rFonts w:ascii="Arial" w:hAnsi="Arial" w:cs="Arial"/>
        </w:rPr>
        <w:t xml:space="preserve">       </w:t>
      </w:r>
    </w:p>
    <w:p w:rsidR="00784FAF" w:rsidRPr="006170A8" w:rsidRDefault="00F821CD" w:rsidP="006170A8">
      <w:pPr>
        <w:spacing w:line="240" w:lineRule="auto"/>
        <w:jc w:val="both"/>
        <w:rPr>
          <w:rFonts w:ascii="Arial" w:hAnsi="Arial" w:cs="Arial"/>
        </w:rPr>
      </w:pPr>
      <w:r w:rsidRPr="006170A8">
        <w:rPr>
          <w:rFonts w:ascii="Arial" w:hAnsi="Arial" w:cs="Arial"/>
        </w:rPr>
        <w:t>Г.В. Зуб</w:t>
      </w:r>
    </w:p>
    <w:sectPr w:rsidR="00784FAF" w:rsidRPr="006170A8" w:rsidSect="00156F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515"/>
    <w:multiLevelType w:val="hybridMultilevel"/>
    <w:tmpl w:val="9DD0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7FD"/>
    <w:multiLevelType w:val="hybridMultilevel"/>
    <w:tmpl w:val="2E48F59E"/>
    <w:lvl w:ilvl="0" w:tplc="13E80AD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4CD2C19"/>
    <w:multiLevelType w:val="hybridMultilevel"/>
    <w:tmpl w:val="02026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4194C"/>
    <w:multiLevelType w:val="hybridMultilevel"/>
    <w:tmpl w:val="CFCA2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031FE3"/>
    <w:multiLevelType w:val="multilevel"/>
    <w:tmpl w:val="A8C04408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>
    <w:nsid w:val="466B3BB8"/>
    <w:multiLevelType w:val="hybridMultilevel"/>
    <w:tmpl w:val="A9A491A0"/>
    <w:lvl w:ilvl="0" w:tplc="9C0E39A4">
      <w:start w:val="1"/>
      <w:numFmt w:val="decimal"/>
      <w:lvlText w:val="%1."/>
      <w:lvlJc w:val="left"/>
      <w:pPr>
        <w:ind w:left="39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46E928BE"/>
    <w:multiLevelType w:val="multilevel"/>
    <w:tmpl w:val="8C3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42B47"/>
    <w:multiLevelType w:val="multilevel"/>
    <w:tmpl w:val="106C67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68D20A59"/>
    <w:multiLevelType w:val="hybridMultilevel"/>
    <w:tmpl w:val="5B5092B4"/>
    <w:lvl w:ilvl="0" w:tplc="3834B4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75267F26"/>
    <w:multiLevelType w:val="hybridMultilevel"/>
    <w:tmpl w:val="879E2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8364D"/>
    <w:multiLevelType w:val="hybridMultilevel"/>
    <w:tmpl w:val="AF445172"/>
    <w:lvl w:ilvl="0" w:tplc="7A36101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7FDC7F7B"/>
    <w:multiLevelType w:val="multilevel"/>
    <w:tmpl w:val="EC1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6F17"/>
    <w:rsid w:val="00001AC7"/>
    <w:rsid w:val="000601C4"/>
    <w:rsid w:val="00074BB1"/>
    <w:rsid w:val="000750FD"/>
    <w:rsid w:val="00085FFC"/>
    <w:rsid w:val="00123DD3"/>
    <w:rsid w:val="00140AE3"/>
    <w:rsid w:val="00143146"/>
    <w:rsid w:val="00156F17"/>
    <w:rsid w:val="0017226A"/>
    <w:rsid w:val="001E10AB"/>
    <w:rsid w:val="001E5E08"/>
    <w:rsid w:val="002857FE"/>
    <w:rsid w:val="00296D23"/>
    <w:rsid w:val="002B13E0"/>
    <w:rsid w:val="002D62B4"/>
    <w:rsid w:val="002F3B5B"/>
    <w:rsid w:val="00300A41"/>
    <w:rsid w:val="00304DED"/>
    <w:rsid w:val="00306751"/>
    <w:rsid w:val="00386968"/>
    <w:rsid w:val="003F4DC3"/>
    <w:rsid w:val="00413BF6"/>
    <w:rsid w:val="0048090E"/>
    <w:rsid w:val="00484CE2"/>
    <w:rsid w:val="004E77A0"/>
    <w:rsid w:val="00526E95"/>
    <w:rsid w:val="005950DE"/>
    <w:rsid w:val="005C4EC4"/>
    <w:rsid w:val="006170A8"/>
    <w:rsid w:val="00752936"/>
    <w:rsid w:val="00784FAF"/>
    <w:rsid w:val="007C68FD"/>
    <w:rsid w:val="007D4F59"/>
    <w:rsid w:val="0083436C"/>
    <w:rsid w:val="008366A7"/>
    <w:rsid w:val="00845853"/>
    <w:rsid w:val="008D1BD0"/>
    <w:rsid w:val="008D39D7"/>
    <w:rsid w:val="00927AE5"/>
    <w:rsid w:val="00950E98"/>
    <w:rsid w:val="009919DA"/>
    <w:rsid w:val="009B67A1"/>
    <w:rsid w:val="00AB3D46"/>
    <w:rsid w:val="00B279BA"/>
    <w:rsid w:val="00B27FD7"/>
    <w:rsid w:val="00B6056B"/>
    <w:rsid w:val="00B8003F"/>
    <w:rsid w:val="00BA10AD"/>
    <w:rsid w:val="00BB43F3"/>
    <w:rsid w:val="00C121F6"/>
    <w:rsid w:val="00CD0259"/>
    <w:rsid w:val="00D64221"/>
    <w:rsid w:val="00E23655"/>
    <w:rsid w:val="00E30C9B"/>
    <w:rsid w:val="00E450C5"/>
    <w:rsid w:val="00E66174"/>
    <w:rsid w:val="00E92918"/>
    <w:rsid w:val="00EC6298"/>
    <w:rsid w:val="00ED5F3B"/>
    <w:rsid w:val="00F821CD"/>
    <w:rsid w:val="00F8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17"/>
    <w:pPr>
      <w:spacing w:after="0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F17"/>
    <w:pPr>
      <w:keepNext/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56F1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156F17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6F17"/>
    <w:pPr>
      <w:shd w:val="clear" w:color="auto" w:fill="FFFFFF"/>
      <w:spacing w:after="60" w:line="0" w:lineRule="atLeast"/>
    </w:pPr>
    <w:rPr>
      <w:rFonts w:asciiTheme="minorHAnsi" w:hAnsiTheme="minorHAnsi"/>
      <w:sz w:val="23"/>
      <w:szCs w:val="23"/>
    </w:rPr>
  </w:style>
  <w:style w:type="paragraph" w:styleId="a3">
    <w:name w:val="No Spacing"/>
    <w:uiPriority w:val="1"/>
    <w:qFormat/>
    <w:rsid w:val="00156F1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56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366A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366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05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0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3</cp:revision>
  <cp:lastPrinted>2018-11-27T07:27:00Z</cp:lastPrinted>
  <dcterms:created xsi:type="dcterms:W3CDTF">2018-12-05T07:34:00Z</dcterms:created>
  <dcterms:modified xsi:type="dcterms:W3CDTF">2018-12-06T06:13:00Z</dcterms:modified>
</cp:coreProperties>
</file>