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A88BECA" wp14:editId="0B0BFF03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</w:p>
    <w:p w:rsidR="00F739FC" w:rsidRPr="00D50152" w:rsidRDefault="00F739FC" w:rsidP="00F739FC">
      <w:pPr>
        <w:spacing w:line="360" w:lineRule="exact"/>
        <w:ind w:left="-142"/>
        <w:jc w:val="center"/>
        <w:rPr>
          <w:b/>
          <w:caps/>
          <w:szCs w:val="28"/>
        </w:rPr>
      </w:pPr>
      <w:r>
        <w:rPr>
          <w:b/>
          <w:szCs w:val="28"/>
        </w:rPr>
        <w:t xml:space="preserve">АДМИНИСТРАЦИЯ СЕЛЬСКОГО ПОСЕЛЕНИЯ </w:t>
      </w:r>
      <w:r w:rsidRPr="00D50152">
        <w:rPr>
          <w:b/>
          <w:caps/>
          <w:szCs w:val="28"/>
        </w:rPr>
        <w:t>Кубанец</w:t>
      </w:r>
    </w:p>
    <w:p w:rsidR="00F739FC" w:rsidRDefault="00F739FC" w:rsidP="00F739FC">
      <w:pPr>
        <w:spacing w:line="360" w:lineRule="exact"/>
        <w:ind w:left="-142"/>
        <w:jc w:val="center"/>
        <w:rPr>
          <w:b/>
          <w:szCs w:val="28"/>
        </w:rPr>
      </w:pPr>
      <w:r>
        <w:rPr>
          <w:b/>
          <w:szCs w:val="28"/>
        </w:rPr>
        <w:t>ТИМАШЕВСКОГО РАЙОНА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Default="00F739FC" w:rsidP="00F739FC">
      <w:pPr>
        <w:keepNext/>
        <w:spacing w:line="360" w:lineRule="exact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F739FC" w:rsidRDefault="00F739FC" w:rsidP="00F739FC">
      <w:pPr>
        <w:spacing w:line="360" w:lineRule="exact"/>
        <w:ind w:right="-2"/>
        <w:jc w:val="center"/>
        <w:rPr>
          <w:b/>
        </w:rPr>
      </w:pPr>
    </w:p>
    <w:p w:rsidR="00F739FC" w:rsidRPr="00AE2141" w:rsidRDefault="00F739FC" w:rsidP="00F739FC">
      <w:pPr>
        <w:spacing w:line="280" w:lineRule="exact"/>
        <w:ind w:right="-2"/>
        <w:jc w:val="center"/>
        <w:rPr>
          <w:szCs w:val="28"/>
        </w:rPr>
      </w:pPr>
      <w:r w:rsidRPr="00AE2141">
        <w:rPr>
          <w:szCs w:val="28"/>
        </w:rPr>
        <w:t xml:space="preserve">от </w:t>
      </w:r>
      <w:r w:rsidR="00C70BAC">
        <w:rPr>
          <w:szCs w:val="28"/>
        </w:rPr>
        <w:t>14.12.2023</w:t>
      </w:r>
      <w:bookmarkStart w:id="0" w:name="_GoBack"/>
      <w:bookmarkEnd w:id="0"/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</w:t>
      </w:r>
      <w:r w:rsidRPr="00AE2141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                       </w:t>
      </w:r>
      <w:r w:rsidRPr="00AE2141">
        <w:rPr>
          <w:szCs w:val="28"/>
        </w:rPr>
        <w:t>№</w:t>
      </w:r>
      <w:r>
        <w:rPr>
          <w:szCs w:val="28"/>
        </w:rPr>
        <w:t xml:space="preserve"> </w:t>
      </w:r>
      <w:r w:rsidR="00C70BAC">
        <w:rPr>
          <w:szCs w:val="28"/>
        </w:rPr>
        <w:t>113</w:t>
      </w:r>
    </w:p>
    <w:p w:rsidR="00F739FC" w:rsidRDefault="00F739FC" w:rsidP="00F739FC">
      <w:pPr>
        <w:tabs>
          <w:tab w:val="left" w:pos="9356"/>
        </w:tabs>
        <w:spacing w:line="280" w:lineRule="exact"/>
        <w:ind w:left="-426" w:right="-2"/>
        <w:jc w:val="center"/>
      </w:pPr>
      <w:r>
        <w:t>хутор Беднягина</w:t>
      </w:r>
    </w:p>
    <w:p w:rsidR="00F739FC" w:rsidRDefault="00F739FC" w:rsidP="00F739FC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D89" w:rsidRDefault="00F739FC" w:rsidP="00CC54C0">
      <w:pPr>
        <w:jc w:val="center"/>
        <w:rPr>
          <w:b/>
          <w:sz w:val="28"/>
          <w:szCs w:val="28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в дорожном хозяйстве в границах населенных пунктов сельского поселения </w:t>
      </w:r>
    </w:p>
    <w:p w:rsidR="00F739FC" w:rsidRPr="00CC54C0" w:rsidRDefault="00F739FC" w:rsidP="00CC54C0">
      <w:pPr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Кубанец </w:t>
      </w:r>
      <w:proofErr w:type="spellStart"/>
      <w:r w:rsidRPr="00F739FC">
        <w:rPr>
          <w:b/>
          <w:sz w:val="28"/>
          <w:szCs w:val="28"/>
        </w:rPr>
        <w:t>Тимашевского</w:t>
      </w:r>
      <w:proofErr w:type="spellEnd"/>
      <w:r w:rsidRPr="00F739FC">
        <w:rPr>
          <w:b/>
          <w:sz w:val="28"/>
          <w:szCs w:val="28"/>
        </w:rPr>
        <w:t xml:space="preserve">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681AFC">
        <w:rPr>
          <w:b/>
          <w:bCs/>
          <w:color w:val="000000" w:themeColor="text1"/>
          <w:sz w:val="28"/>
          <w:szCs w:val="28"/>
        </w:rPr>
        <w:t>4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9FC" w:rsidRPr="00C420B8" w:rsidRDefault="00F739FC" w:rsidP="00F739F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3F7DCF">
      <w:pPr>
        <w:ind w:firstLine="709"/>
        <w:jc w:val="both"/>
        <w:rPr>
          <w:spacing w:val="2"/>
          <w:sz w:val="28"/>
          <w:szCs w:val="28"/>
        </w:rPr>
      </w:pPr>
      <w:r w:rsidRPr="00681AFC">
        <w:rPr>
          <w:spacing w:val="2"/>
          <w:sz w:val="28"/>
          <w:szCs w:val="28"/>
        </w:rPr>
        <w:t xml:space="preserve">В соответствии с Федеральным законом от 31 июля 2020 г. № 248-ФЗ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681AFC">
        <w:rPr>
          <w:color w:val="000000"/>
          <w:sz w:val="28"/>
          <w:szCs w:val="28"/>
          <w:lang w:bidi="ru-RU"/>
        </w:rPr>
        <w:t xml:space="preserve">решением Совета </w:t>
      </w:r>
      <w:r w:rsidR="003F7DCF" w:rsidRPr="00681AFC">
        <w:rPr>
          <w:color w:val="000000"/>
          <w:sz w:val="28"/>
          <w:szCs w:val="28"/>
          <w:lang w:bidi="ru-RU"/>
        </w:rPr>
        <w:t xml:space="preserve">сельского поселения Кубанец </w:t>
      </w:r>
      <w:proofErr w:type="spellStart"/>
      <w:r w:rsidR="003F7DCF" w:rsidRPr="00681AFC">
        <w:rPr>
          <w:color w:val="000000"/>
          <w:sz w:val="28"/>
          <w:szCs w:val="28"/>
          <w:lang w:bidi="ru-RU"/>
        </w:rPr>
        <w:t>Тимашевского</w:t>
      </w:r>
      <w:proofErr w:type="spellEnd"/>
      <w:r w:rsidR="003F7DCF" w:rsidRPr="00681AFC">
        <w:rPr>
          <w:color w:val="000000"/>
          <w:sz w:val="28"/>
          <w:szCs w:val="28"/>
          <w:lang w:bidi="ru-RU"/>
        </w:rPr>
        <w:t xml:space="preserve"> района</w:t>
      </w:r>
      <w:r w:rsidRPr="00681AFC">
        <w:rPr>
          <w:color w:val="000000"/>
          <w:sz w:val="28"/>
          <w:szCs w:val="28"/>
          <w:lang w:bidi="ru-RU"/>
        </w:rPr>
        <w:t xml:space="preserve"> от </w:t>
      </w:r>
      <w:r w:rsidR="003F7DCF" w:rsidRPr="00681AFC">
        <w:rPr>
          <w:color w:val="000000"/>
          <w:sz w:val="28"/>
          <w:szCs w:val="28"/>
          <w:lang w:bidi="ru-RU"/>
        </w:rPr>
        <w:t>17 декабря 2021</w:t>
      </w:r>
      <w:r w:rsidRPr="00681AFC">
        <w:rPr>
          <w:color w:val="000000"/>
          <w:sz w:val="28"/>
          <w:szCs w:val="28"/>
          <w:lang w:bidi="ru-RU"/>
        </w:rPr>
        <w:t xml:space="preserve">г. № </w:t>
      </w:r>
      <w:r w:rsidR="003F7DCF" w:rsidRPr="00681AFC">
        <w:rPr>
          <w:color w:val="000000"/>
          <w:sz w:val="28"/>
          <w:szCs w:val="28"/>
          <w:lang w:bidi="ru-RU"/>
        </w:rPr>
        <w:t>7</w:t>
      </w:r>
      <w:r w:rsidR="00982842">
        <w:rPr>
          <w:color w:val="000000"/>
          <w:sz w:val="28"/>
          <w:szCs w:val="28"/>
          <w:lang w:bidi="ru-RU"/>
        </w:rPr>
        <w:t>8</w:t>
      </w:r>
      <w:r w:rsidRPr="00681AFC">
        <w:rPr>
          <w:color w:val="000000"/>
          <w:sz w:val="28"/>
          <w:szCs w:val="28"/>
          <w:lang w:bidi="ru-RU"/>
        </w:rPr>
        <w:t xml:space="preserve"> «</w:t>
      </w:r>
      <w:r w:rsidR="003F7DCF" w:rsidRPr="00997C14">
        <w:rPr>
          <w:bCs/>
          <w:color w:val="000000"/>
          <w:sz w:val="28"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3F7DCF" w:rsidRPr="00997C14">
        <w:rPr>
          <w:bCs/>
          <w:color w:val="000000"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bookmarkEnd w:id="1"/>
      <w:bookmarkEnd w:id="2"/>
      <w:r w:rsidR="003F7DCF" w:rsidRPr="00997C14">
        <w:rPr>
          <w:rStyle w:val="markedcontent"/>
        </w:rPr>
        <w:t xml:space="preserve"> </w:t>
      </w:r>
      <w:r w:rsidR="003F7DCF" w:rsidRPr="00997C14">
        <w:rPr>
          <w:bCs/>
          <w:sz w:val="28"/>
          <w:szCs w:val="28"/>
        </w:rPr>
        <w:t xml:space="preserve">в </w:t>
      </w:r>
      <w:r w:rsidR="003F7DCF" w:rsidRPr="003F7DCF">
        <w:rPr>
          <w:bCs/>
          <w:sz w:val="28"/>
          <w:szCs w:val="28"/>
        </w:rPr>
        <w:t xml:space="preserve">границах населенных пунктов </w:t>
      </w:r>
      <w:r w:rsidR="003F7DCF" w:rsidRPr="003F7DCF">
        <w:rPr>
          <w:rStyle w:val="markedcontent"/>
          <w:sz w:val="28"/>
          <w:szCs w:val="28"/>
        </w:rPr>
        <w:t xml:space="preserve">сельского поселения Кубанец  </w:t>
      </w:r>
      <w:proofErr w:type="spellStart"/>
      <w:r w:rsidR="003F7DCF" w:rsidRPr="003F7DCF">
        <w:rPr>
          <w:rStyle w:val="markedcontent"/>
          <w:sz w:val="28"/>
          <w:szCs w:val="28"/>
        </w:rPr>
        <w:t>Тимашевского</w:t>
      </w:r>
      <w:proofErr w:type="spellEnd"/>
      <w:r w:rsidR="003F7DCF" w:rsidRPr="003F7DCF">
        <w:rPr>
          <w:rStyle w:val="markedcontent"/>
          <w:sz w:val="28"/>
          <w:szCs w:val="28"/>
        </w:rPr>
        <w:t xml:space="preserve"> района</w:t>
      </w:r>
      <w:r w:rsidRPr="00681AFC">
        <w:rPr>
          <w:color w:val="000000"/>
          <w:sz w:val="28"/>
          <w:szCs w:val="28"/>
          <w:lang w:bidi="ru-RU"/>
        </w:rPr>
        <w:t>»,</w:t>
      </w:r>
      <w:r w:rsidRPr="004150DC">
        <w:rPr>
          <w:color w:val="000000"/>
          <w:sz w:val="28"/>
          <w:szCs w:val="28"/>
          <w:lang w:bidi="ru-RU"/>
        </w:rPr>
        <w:t xml:space="preserve"> </w:t>
      </w:r>
      <w:r w:rsidRPr="007D7264">
        <w:rPr>
          <w:spacing w:val="2"/>
          <w:sz w:val="28"/>
          <w:szCs w:val="28"/>
        </w:rPr>
        <w:t xml:space="preserve">руководствуясь </w:t>
      </w:r>
      <w:r w:rsidRPr="00847723">
        <w:rPr>
          <w:sz w:val="28"/>
          <w:szCs w:val="28"/>
        </w:rPr>
        <w:t xml:space="preserve">статьей 66 Устава </w:t>
      </w:r>
      <w:r w:rsidR="003F7DCF">
        <w:rPr>
          <w:sz w:val="28"/>
          <w:szCs w:val="28"/>
        </w:rPr>
        <w:t xml:space="preserve">сельского поселения Кубанец </w:t>
      </w:r>
      <w:proofErr w:type="spellStart"/>
      <w:r w:rsidR="003F7DCF">
        <w:rPr>
          <w:sz w:val="28"/>
          <w:szCs w:val="28"/>
        </w:rPr>
        <w:t>Тимашевского</w:t>
      </w:r>
      <w:proofErr w:type="spellEnd"/>
      <w:r w:rsidR="003F7DCF">
        <w:rPr>
          <w:sz w:val="28"/>
          <w:szCs w:val="28"/>
        </w:rPr>
        <w:t xml:space="preserve"> района</w:t>
      </w:r>
      <w:r w:rsidRPr="007D7264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п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с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т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а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н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в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л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я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ю:</w:t>
      </w:r>
    </w:p>
    <w:p w:rsidR="00F739FC" w:rsidRPr="00CC54C0" w:rsidRDefault="00F739FC" w:rsidP="00CC54C0">
      <w:pPr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 сельского поселен</w:t>
      </w:r>
      <w:r w:rsidR="00AD1D89">
        <w:rPr>
          <w:sz w:val="28"/>
          <w:szCs w:val="28"/>
        </w:rPr>
        <w:t xml:space="preserve">ия Кубанец </w:t>
      </w:r>
      <w:proofErr w:type="spellStart"/>
      <w:r w:rsidR="00AD1D89">
        <w:rPr>
          <w:sz w:val="28"/>
          <w:szCs w:val="28"/>
        </w:rPr>
        <w:t>Тимашевского</w:t>
      </w:r>
      <w:proofErr w:type="spellEnd"/>
      <w:r w:rsidR="00AD1D89">
        <w:rPr>
          <w:sz w:val="28"/>
          <w:szCs w:val="28"/>
        </w:rPr>
        <w:t xml:space="preserve">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9E7954">
        <w:rPr>
          <w:bCs/>
          <w:color w:val="000000" w:themeColor="text1"/>
          <w:sz w:val="28"/>
          <w:szCs w:val="28"/>
        </w:rPr>
        <w:t>3</w:t>
      </w:r>
      <w:r w:rsidRPr="00F739FC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F739FC">
        <w:rPr>
          <w:bCs/>
          <w:color w:val="000000" w:themeColor="text1"/>
          <w:sz w:val="28"/>
          <w:szCs w:val="28"/>
        </w:rPr>
        <w:t xml:space="preserve">год </w:t>
      </w:r>
      <w:r w:rsidRPr="00F739FC">
        <w:rPr>
          <w:sz w:val="28"/>
          <w:szCs w:val="28"/>
        </w:rPr>
        <w:t xml:space="preserve"> (</w:t>
      </w:r>
      <w:proofErr w:type="gramEnd"/>
      <w:r w:rsidRPr="00F739FC">
        <w:rPr>
          <w:sz w:val="28"/>
          <w:szCs w:val="28"/>
        </w:rPr>
        <w:t>прилагается).</w:t>
      </w:r>
    </w:p>
    <w:p w:rsidR="00CC54C0" w:rsidRDefault="00F739FC" w:rsidP="00CC54C0">
      <w:pPr>
        <w:ind w:firstLine="708"/>
        <w:jc w:val="both"/>
        <w:rPr>
          <w:bCs/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9E7954">
        <w:rPr>
          <w:sz w:val="28"/>
          <w:szCs w:val="28"/>
        </w:rPr>
        <w:t>Заместитель главы</w:t>
      </w:r>
      <w:r w:rsidRPr="00F739FC">
        <w:rPr>
          <w:sz w:val="28"/>
          <w:szCs w:val="28"/>
        </w:rPr>
        <w:t xml:space="preserve"> сельского поселения Кубанец </w:t>
      </w:r>
      <w:proofErr w:type="spellStart"/>
      <w:r w:rsidRPr="00F739FC">
        <w:rPr>
          <w:sz w:val="28"/>
          <w:szCs w:val="28"/>
        </w:rPr>
        <w:t>Тимашевского</w:t>
      </w:r>
      <w:proofErr w:type="spellEnd"/>
      <w:r w:rsidRPr="00F739FC">
        <w:rPr>
          <w:sz w:val="28"/>
          <w:szCs w:val="28"/>
        </w:rPr>
        <w:t xml:space="preserve"> района </w:t>
      </w:r>
      <w:proofErr w:type="spellStart"/>
      <w:r w:rsidRPr="00F739FC">
        <w:rPr>
          <w:sz w:val="28"/>
          <w:szCs w:val="28"/>
        </w:rPr>
        <w:t>Батанцевой</w:t>
      </w:r>
      <w:proofErr w:type="spellEnd"/>
      <w:r w:rsidRPr="00F739FC">
        <w:rPr>
          <w:sz w:val="28"/>
          <w:szCs w:val="28"/>
        </w:rPr>
        <w:t xml:space="preserve"> Н.С. осуществить размещение настоящего постановления на официальном сайте администрации сельского поселения Кубанец </w:t>
      </w:r>
      <w:proofErr w:type="spellStart"/>
      <w:r w:rsidRPr="00F739FC">
        <w:rPr>
          <w:sz w:val="28"/>
          <w:szCs w:val="28"/>
        </w:rPr>
        <w:t>Тимашевского</w:t>
      </w:r>
      <w:proofErr w:type="spellEnd"/>
      <w:r w:rsidRPr="00F739FC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C54C0" w:rsidRPr="00CC54C0" w:rsidRDefault="00F739FC" w:rsidP="00CC54C0">
      <w:pPr>
        <w:ind w:firstLine="708"/>
        <w:jc w:val="both"/>
        <w:rPr>
          <w:bCs/>
          <w:sz w:val="28"/>
          <w:szCs w:val="28"/>
        </w:rPr>
      </w:pPr>
      <w:r w:rsidRPr="00EC49E5">
        <w:rPr>
          <w:sz w:val="28"/>
          <w:szCs w:val="28"/>
        </w:rPr>
        <w:t xml:space="preserve">3. </w:t>
      </w:r>
      <w:r w:rsidR="00CC54C0" w:rsidRPr="00EC49E5">
        <w:rPr>
          <w:sz w:val="28"/>
          <w:szCs w:val="28"/>
        </w:rPr>
        <w:t>Постановление вступает в силу с 1 января 202</w:t>
      </w:r>
      <w:r w:rsidR="00681AFC" w:rsidRPr="00EC49E5">
        <w:rPr>
          <w:sz w:val="28"/>
          <w:szCs w:val="28"/>
        </w:rPr>
        <w:t>4</w:t>
      </w:r>
      <w:r w:rsidR="00CC54C0" w:rsidRPr="00EC49E5">
        <w:rPr>
          <w:sz w:val="28"/>
          <w:szCs w:val="28"/>
        </w:rPr>
        <w:t xml:space="preserve"> г.</w:t>
      </w:r>
    </w:p>
    <w:p w:rsidR="00F739FC" w:rsidRPr="00F739FC" w:rsidRDefault="00F739FC" w:rsidP="00F739F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F739FC" w:rsidRDefault="00F739FC" w:rsidP="00F739FC">
      <w:pPr>
        <w:ind w:left="192" w:firstLine="708"/>
        <w:jc w:val="both"/>
        <w:rPr>
          <w:rFonts w:cs="Courier New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                                                                       Н.А. Дема</w:t>
      </w:r>
    </w:p>
    <w:p w:rsidR="00AD1D89" w:rsidRDefault="00AD1D89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EF41D7" w:rsidRPr="00F739FC" w:rsidRDefault="00EF41D7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Приложение </w:t>
      </w:r>
    </w:p>
    <w:p w:rsidR="00F739FC" w:rsidRPr="00F739FC" w:rsidRDefault="00F739FC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CC54C0">
      <w:pPr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Кубанец </w:t>
      </w:r>
    </w:p>
    <w:p w:rsidR="00EF41D7" w:rsidRPr="00F739FC" w:rsidRDefault="005A255F" w:rsidP="00CC54C0">
      <w:pPr>
        <w:ind w:left="5103"/>
        <w:rPr>
          <w:color w:val="000000" w:themeColor="text1"/>
          <w:sz w:val="28"/>
          <w:szCs w:val="28"/>
        </w:rPr>
      </w:pPr>
      <w:proofErr w:type="spellStart"/>
      <w:r w:rsidRPr="00F739FC">
        <w:rPr>
          <w:color w:val="000000" w:themeColor="text1"/>
          <w:sz w:val="28"/>
          <w:szCs w:val="28"/>
        </w:rPr>
        <w:t>Тимашевского</w:t>
      </w:r>
      <w:proofErr w:type="spellEnd"/>
      <w:r w:rsidRPr="00F739FC">
        <w:rPr>
          <w:color w:val="000000" w:themeColor="text1"/>
          <w:sz w:val="28"/>
          <w:szCs w:val="28"/>
        </w:rPr>
        <w:t xml:space="preserve"> района </w:t>
      </w:r>
    </w:p>
    <w:p w:rsidR="00EF41D7" w:rsidRPr="00F739FC" w:rsidRDefault="00EF41D7" w:rsidP="00CC54C0">
      <w:pPr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</w:t>
      </w:r>
      <w:proofErr w:type="gramStart"/>
      <w:r w:rsidRPr="00F739FC">
        <w:rPr>
          <w:color w:val="000000" w:themeColor="text1"/>
          <w:sz w:val="28"/>
          <w:szCs w:val="28"/>
        </w:rPr>
        <w:t xml:space="preserve">№ </w:t>
      </w:r>
      <w:r w:rsidR="00106875" w:rsidRPr="00F739FC">
        <w:rPr>
          <w:color w:val="000000" w:themeColor="text1"/>
          <w:sz w:val="28"/>
          <w:szCs w:val="28"/>
        </w:rPr>
        <w:t xml:space="preserve"> _</w:t>
      </w:r>
      <w:proofErr w:type="gramEnd"/>
      <w:r w:rsidR="00106875" w:rsidRPr="00F739FC">
        <w:rPr>
          <w:color w:val="000000" w:themeColor="text1"/>
          <w:sz w:val="28"/>
          <w:szCs w:val="28"/>
        </w:rPr>
        <w:t>___</w:t>
      </w:r>
    </w:p>
    <w:p w:rsidR="00EF41D7" w:rsidRPr="00F739FC" w:rsidRDefault="00EF41D7" w:rsidP="00F739FC">
      <w:pPr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AD1D89">
      <w:pPr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CC54C0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CC54C0">
      <w:pPr>
        <w:jc w:val="center"/>
        <w:rPr>
          <w:b/>
          <w:sz w:val="28"/>
          <w:szCs w:val="28"/>
        </w:rPr>
      </w:pP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CC54C0">
        <w:rPr>
          <w:b/>
          <w:sz w:val="28"/>
          <w:szCs w:val="28"/>
        </w:rPr>
        <w:t xml:space="preserve">при проведении муниципального </w:t>
      </w:r>
    </w:p>
    <w:p w:rsidR="00CC54C0" w:rsidRDefault="00EF41D7" w:rsidP="00CC54C0">
      <w:pPr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AD1D89" w:rsidRDefault="0085313C" w:rsidP="00CC54C0">
      <w:pPr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>в</w:t>
      </w:r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5A255F" w:rsidRPr="00CC54C0">
        <w:rPr>
          <w:b/>
          <w:sz w:val="28"/>
          <w:szCs w:val="28"/>
        </w:rPr>
        <w:t xml:space="preserve">сельского поселения Кубанец </w:t>
      </w:r>
    </w:p>
    <w:p w:rsidR="00331E43" w:rsidRPr="00CC54C0" w:rsidRDefault="005A255F" w:rsidP="00CC54C0">
      <w:pPr>
        <w:jc w:val="center"/>
        <w:rPr>
          <w:b/>
          <w:sz w:val="28"/>
          <w:szCs w:val="28"/>
        </w:rPr>
      </w:pPr>
      <w:proofErr w:type="spellStart"/>
      <w:r w:rsidRPr="00CC54C0">
        <w:rPr>
          <w:b/>
          <w:sz w:val="28"/>
          <w:szCs w:val="28"/>
        </w:rPr>
        <w:t>Тимашевского</w:t>
      </w:r>
      <w:proofErr w:type="spellEnd"/>
      <w:r w:rsidRPr="00CC54C0">
        <w:rPr>
          <w:b/>
          <w:sz w:val="28"/>
          <w:szCs w:val="28"/>
        </w:rPr>
        <w:t xml:space="preserve">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681AFC">
        <w:rPr>
          <w:b/>
          <w:bCs/>
          <w:color w:val="000000" w:themeColor="text1"/>
          <w:sz w:val="28"/>
          <w:szCs w:val="28"/>
        </w:rPr>
        <w:t>4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331E43" w:rsidRPr="00F739FC" w:rsidRDefault="00331E43" w:rsidP="00F739FC">
      <w:pPr>
        <w:shd w:val="clear" w:color="auto" w:fill="FFFFFF"/>
        <w:rPr>
          <w:color w:val="000000" w:themeColor="text1"/>
          <w:sz w:val="28"/>
          <w:szCs w:val="28"/>
        </w:rPr>
      </w:pPr>
    </w:p>
    <w:p w:rsidR="00CC54C0" w:rsidRPr="007D7264" w:rsidRDefault="00CC54C0" w:rsidP="00CC54C0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D7264">
        <w:rPr>
          <w:spacing w:val="2"/>
          <w:sz w:val="28"/>
          <w:szCs w:val="28"/>
        </w:rPr>
        <w:t>1. Общие положения</w:t>
      </w:r>
    </w:p>
    <w:p w:rsidR="00CC54C0" w:rsidRPr="00E15D70" w:rsidRDefault="00CC54C0" w:rsidP="00CC54C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CC54C0" w:rsidRDefault="00CC54C0" w:rsidP="00D22DB1">
      <w:pPr>
        <w:shd w:val="clear" w:color="auto" w:fill="FFFFFF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охраняемым законом ценностям п</w:t>
      </w:r>
      <w:r>
        <w:rPr>
          <w:spacing w:val="2"/>
          <w:sz w:val="28"/>
          <w:szCs w:val="28"/>
        </w:rPr>
        <w:t>ри осуществлении</w:t>
      </w:r>
      <w:r w:rsidRPr="001D0F27">
        <w:rPr>
          <w:spacing w:val="2"/>
          <w:sz w:val="28"/>
          <w:szCs w:val="28"/>
        </w:rPr>
        <w:t xml:space="preserve"> </w:t>
      </w:r>
      <w:r w:rsidRPr="00CC54C0">
        <w:rPr>
          <w:spacing w:val="2"/>
          <w:sz w:val="28"/>
          <w:szCs w:val="28"/>
        </w:rPr>
        <w:t>муниципального 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CC54C0">
        <w:rPr>
          <w:spacing w:val="2"/>
          <w:sz w:val="28"/>
          <w:szCs w:val="28"/>
        </w:rPr>
        <w:t xml:space="preserve">в границах населенных пунктов сельского поселения Кубанец </w:t>
      </w:r>
      <w:proofErr w:type="spellStart"/>
      <w:r w:rsidRPr="00CC54C0">
        <w:rPr>
          <w:spacing w:val="2"/>
          <w:sz w:val="28"/>
          <w:szCs w:val="28"/>
        </w:rPr>
        <w:t>Тимашевского</w:t>
      </w:r>
      <w:proofErr w:type="spellEnd"/>
      <w:r w:rsidRPr="00CC54C0">
        <w:rPr>
          <w:spacing w:val="2"/>
          <w:sz w:val="28"/>
          <w:szCs w:val="28"/>
        </w:rPr>
        <w:t xml:space="preserve"> района  на 202</w:t>
      </w:r>
      <w:r w:rsidR="00681AFC">
        <w:rPr>
          <w:spacing w:val="2"/>
          <w:sz w:val="28"/>
          <w:szCs w:val="28"/>
        </w:rPr>
        <w:t>4</w:t>
      </w:r>
      <w:r w:rsidRPr="00CC54C0">
        <w:rPr>
          <w:spacing w:val="2"/>
          <w:sz w:val="28"/>
          <w:szCs w:val="28"/>
        </w:rPr>
        <w:t xml:space="preserve">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Программа) разработана в соответствии</w:t>
      </w:r>
      <w:r>
        <w:rPr>
          <w:spacing w:val="2"/>
          <w:sz w:val="28"/>
          <w:szCs w:val="28"/>
        </w:rPr>
        <w:t xml:space="preserve"> с</w:t>
      </w:r>
      <w:r w:rsidRPr="001D0F27">
        <w:rPr>
          <w:spacing w:val="2"/>
          <w:sz w:val="28"/>
          <w:szCs w:val="28"/>
        </w:rPr>
        <w:t xml:space="preserve"> 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контроле в Российской Федерации»</w:t>
      </w:r>
      <w:r w:rsidR="00D853CA">
        <w:rPr>
          <w:spacing w:val="2"/>
          <w:sz w:val="28"/>
          <w:szCs w:val="28"/>
        </w:rPr>
        <w:t xml:space="preserve"> (далее – Федеральный закон № 248-ФЗ)</w:t>
      </w:r>
      <w:r w:rsidRPr="001D0F27">
        <w:rPr>
          <w:spacing w:val="2"/>
          <w:sz w:val="28"/>
          <w:szCs w:val="28"/>
        </w:rPr>
        <w:t xml:space="preserve">, постановлением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 </w:t>
      </w:r>
      <w:r w:rsidR="00D22DB1" w:rsidRPr="00D22DB1">
        <w:rPr>
          <w:spacing w:val="2"/>
          <w:sz w:val="28"/>
          <w:szCs w:val="28"/>
        </w:rPr>
        <w:t xml:space="preserve">сельского поселения Кубанец </w:t>
      </w:r>
      <w:proofErr w:type="spellStart"/>
      <w:r w:rsidR="00D22DB1" w:rsidRPr="00D22DB1">
        <w:rPr>
          <w:spacing w:val="2"/>
          <w:sz w:val="28"/>
          <w:szCs w:val="28"/>
        </w:rPr>
        <w:t>Тимашевского</w:t>
      </w:r>
      <w:proofErr w:type="spellEnd"/>
      <w:r w:rsidR="00D22DB1" w:rsidRPr="00D22DB1">
        <w:rPr>
          <w:spacing w:val="2"/>
          <w:sz w:val="28"/>
          <w:szCs w:val="28"/>
        </w:rPr>
        <w:t xml:space="preserve"> района</w:t>
      </w:r>
      <w:r>
        <w:rPr>
          <w:spacing w:val="2"/>
          <w:sz w:val="28"/>
          <w:szCs w:val="28"/>
        </w:rPr>
        <w:t>,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 w:rsidR="00D22DB1" w:rsidRPr="00D22DB1">
        <w:rPr>
          <w:spacing w:val="2"/>
          <w:sz w:val="28"/>
          <w:szCs w:val="28"/>
        </w:rPr>
        <w:t xml:space="preserve">муниципального контроля на автомобильном транспорте и в дорожном хозяйстве в границах населенных пунктов сельского поселения Кубанец </w:t>
      </w:r>
      <w:proofErr w:type="spellStart"/>
      <w:r w:rsidR="00D22DB1" w:rsidRPr="00D22DB1">
        <w:rPr>
          <w:spacing w:val="2"/>
          <w:sz w:val="28"/>
          <w:szCs w:val="28"/>
        </w:rPr>
        <w:t>Тимашевского</w:t>
      </w:r>
      <w:proofErr w:type="spellEnd"/>
      <w:r w:rsidR="00D22DB1" w:rsidRPr="00D22DB1">
        <w:rPr>
          <w:spacing w:val="2"/>
          <w:sz w:val="28"/>
          <w:szCs w:val="28"/>
        </w:rPr>
        <w:t xml:space="preserve"> района (далее – муниципальный контроль на автомобильном транспорте).</w:t>
      </w:r>
    </w:p>
    <w:p w:rsidR="00CC54C0" w:rsidRDefault="00CC54C0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D1D89" w:rsidRDefault="00D22DB1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</w:t>
      </w:r>
    </w:p>
    <w:p w:rsidR="00AD1D89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текущего развития профилактической деятельности контрольного органа, </w:t>
      </w:r>
    </w:p>
    <w:p w:rsidR="00AD1D89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характеристика проблем, на решение которых направлена программа </w:t>
      </w:r>
    </w:p>
    <w:p w:rsidR="00331E43" w:rsidRPr="00F739FC" w:rsidRDefault="00331E43" w:rsidP="00F739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профилактики</w:t>
      </w:r>
    </w:p>
    <w:p w:rsidR="00331E43" w:rsidRPr="00F739FC" w:rsidRDefault="00331E43" w:rsidP="00F739FC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8F29AB" w:rsidP="008F29A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A6632A" w:rsidRDefault="00D22DB1" w:rsidP="008F29AB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на автомобильном транспорте является соблюдение юридическими лицами, индивидуальными 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предпринимателями, гражданами (далее </w:t>
      </w:r>
      <w:r w:rsidRPr="00A6632A">
        <w:rPr>
          <w:rFonts w:ascii="Times New Roman" w:hAnsi="Times New Roman" w:cs="Times New Roman"/>
          <w:color w:val="000000"/>
        </w:rPr>
        <w:t>–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Кубанец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D22DB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перевозок.</w:t>
      </w:r>
    </w:p>
    <w:p w:rsidR="00D22DB1" w:rsidRPr="008F29AB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Pr="008F29AB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 xml:space="preserve">сельского поселения Кубанец </w:t>
      </w:r>
      <w:proofErr w:type="spellStart"/>
      <w:r w:rsidRPr="008F29AB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Pr="008F29AB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D22DB1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22DB1">
        <w:rPr>
          <w:rFonts w:eastAsia="Calibri"/>
          <w:sz w:val="28"/>
          <w:szCs w:val="28"/>
          <w:lang w:eastAsia="en-US"/>
        </w:rPr>
        <w:t xml:space="preserve">При осуществлении контрольным органом муниципального контроля на автомобильном транспорте </w:t>
      </w:r>
      <w:r w:rsidR="00CE6CD0">
        <w:rPr>
          <w:rFonts w:eastAsia="Calibri"/>
          <w:sz w:val="28"/>
          <w:szCs w:val="28"/>
          <w:lang w:eastAsia="en-US"/>
        </w:rPr>
        <w:t>в 202</w:t>
      </w:r>
      <w:r w:rsidR="00362E93">
        <w:rPr>
          <w:rFonts w:eastAsia="Calibri"/>
          <w:sz w:val="28"/>
          <w:szCs w:val="28"/>
          <w:lang w:eastAsia="en-US"/>
        </w:rPr>
        <w:t>3</w:t>
      </w:r>
      <w:r w:rsidR="00CE6CD0">
        <w:rPr>
          <w:rFonts w:eastAsia="Calibri"/>
          <w:sz w:val="28"/>
          <w:szCs w:val="28"/>
          <w:lang w:eastAsia="en-US"/>
        </w:rPr>
        <w:t xml:space="preserve"> г.</w:t>
      </w:r>
      <w:r w:rsidRPr="00D22DB1">
        <w:rPr>
          <w:rFonts w:eastAsia="Calibri"/>
          <w:sz w:val="28"/>
          <w:szCs w:val="28"/>
          <w:lang w:eastAsia="en-US"/>
        </w:rPr>
        <w:t xml:space="preserve"> </w:t>
      </w:r>
      <w:r w:rsidR="00CE6CD0">
        <w:rPr>
          <w:rFonts w:eastAsia="Calibri"/>
          <w:sz w:val="28"/>
          <w:szCs w:val="28"/>
          <w:lang w:eastAsia="en-US"/>
        </w:rPr>
        <w:t>могли быть проведены</w:t>
      </w:r>
      <w:r w:rsidRPr="00D22DB1">
        <w:rPr>
          <w:rFonts w:eastAsia="Calibri"/>
          <w:sz w:val="28"/>
          <w:szCs w:val="28"/>
          <w:lang w:eastAsia="en-US"/>
        </w:rPr>
        <w:t xml:space="preserve"> следующие виды профилактических мероприятий:</w:t>
      </w:r>
      <w:r>
        <w:rPr>
          <w:rFonts w:eastAsia="Calibri"/>
          <w:sz w:val="28"/>
          <w:szCs w:val="28"/>
          <w:lang w:eastAsia="en-US"/>
        </w:rPr>
        <w:t xml:space="preserve"> информирование, </w:t>
      </w:r>
      <w:r w:rsidRPr="00D22DB1">
        <w:rPr>
          <w:rFonts w:eastAsia="Calibri"/>
          <w:sz w:val="28"/>
          <w:szCs w:val="28"/>
          <w:lang w:eastAsia="en-US"/>
        </w:rPr>
        <w:t>обобщен</w:t>
      </w:r>
      <w:r>
        <w:rPr>
          <w:rFonts w:eastAsia="Calibri"/>
          <w:sz w:val="28"/>
          <w:szCs w:val="28"/>
          <w:lang w:eastAsia="en-US"/>
        </w:rPr>
        <w:t xml:space="preserve">ие правоприменительной практики, объявление предостережения, консультирование, </w:t>
      </w:r>
      <w:r w:rsidRPr="00D22DB1">
        <w:rPr>
          <w:rFonts w:eastAsia="Calibri"/>
          <w:sz w:val="28"/>
          <w:szCs w:val="28"/>
          <w:lang w:eastAsia="en-US"/>
        </w:rPr>
        <w:t>профилактический визит.</w:t>
      </w:r>
    </w:p>
    <w:p w:rsidR="00CE6CD0" w:rsidRPr="00CE6CD0" w:rsidRDefault="00D22DB1" w:rsidP="008F29AB">
      <w:pPr>
        <w:pStyle w:val="a6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</w:t>
      </w:r>
      <w:r w:rsidR="001C140C">
        <w:rPr>
          <w:spacing w:val="2"/>
          <w:sz w:val="28"/>
          <w:szCs w:val="28"/>
        </w:rPr>
        <w:t>3</w:t>
      </w:r>
      <w:r w:rsidRPr="007C59FF">
        <w:rPr>
          <w:spacing w:val="2"/>
          <w:sz w:val="28"/>
          <w:szCs w:val="28"/>
        </w:rPr>
        <w:t xml:space="preserve">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«Информирование»: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CE6CD0" w:rsidRPr="007C59FF" w:rsidRDefault="00CE6CD0" w:rsidP="00CE6CD0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CE6CD0" w:rsidRPr="00D853CA" w:rsidRDefault="00CE6CD0" w:rsidP="00D853CA">
      <w:pPr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 xml:space="preserve">в) поддерживались в актуальном состоянии и размещались на официальном сайте </w:t>
      </w:r>
      <w:r w:rsidR="00580554">
        <w:rPr>
          <w:spacing w:val="2"/>
          <w:sz w:val="28"/>
          <w:szCs w:val="28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Кубанец </w:t>
      </w:r>
      <w:proofErr w:type="spellStart"/>
      <w:r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  <w:r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 </w:t>
      </w:r>
      <w:hyperlink r:id="rId9" w:history="1">
        <w:r w:rsidRPr="00AD1D89">
          <w:rPr>
            <w:rStyle w:val="a7"/>
            <w:color w:val="auto"/>
            <w:sz w:val="28"/>
            <w:szCs w:val="28"/>
            <w:u w:val="none"/>
          </w:rPr>
          <w:t>http://www.</w:t>
        </w:r>
        <w:proofErr w:type="spellStart"/>
        <w:r w:rsidRPr="00AD1D89">
          <w:rPr>
            <w:rStyle w:val="a7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AD1D89">
          <w:rPr>
            <w:rStyle w:val="a7"/>
            <w:color w:val="auto"/>
            <w:sz w:val="28"/>
            <w:szCs w:val="28"/>
            <w:u w:val="none"/>
          </w:rPr>
          <w:t>-</w:t>
        </w:r>
        <w:proofErr w:type="spellStart"/>
        <w:r w:rsidRPr="00AD1D89">
          <w:rPr>
            <w:rStyle w:val="a7"/>
            <w:color w:val="auto"/>
            <w:sz w:val="28"/>
            <w:szCs w:val="28"/>
            <w:u w:val="none"/>
            <w:lang w:val="en-US"/>
          </w:rPr>
          <w:t>kubanec</w:t>
        </w:r>
        <w:proofErr w:type="spellEnd"/>
        <w:r w:rsidRPr="00AD1D89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AD1D89">
          <w:rPr>
            <w:rStyle w:val="a7"/>
            <w:color w:val="auto"/>
            <w:sz w:val="28"/>
            <w:szCs w:val="28"/>
            <w:u w:val="none"/>
          </w:rPr>
          <w:t>ru</w:t>
        </w:r>
        <w:proofErr w:type="spellEnd"/>
      </w:hyperlink>
      <w:r w:rsidRPr="00AD1D89">
        <w:rPr>
          <w:sz w:val="28"/>
          <w:szCs w:val="28"/>
        </w:rPr>
        <w:t xml:space="preserve">  </w:t>
      </w:r>
      <w:r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нормативные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>ке их 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актов с указанием струк</w:t>
      </w:r>
      <w:r w:rsidR="00D853CA" w:rsidRPr="00D853CA">
        <w:rPr>
          <w:rFonts w:eastAsia="Calibri"/>
          <w:sz w:val="28"/>
          <w:szCs w:val="28"/>
          <w:lang w:eastAsia="en-US"/>
        </w:rPr>
        <w:lastRenderedPageBreak/>
        <w:t>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ветственности, применяемых при нарушении обязательных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</w:p>
    <w:p w:rsidR="00CE6CD0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осуществлением муниципального контроля.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D853CA">
        <w:rPr>
          <w:spacing w:val="2"/>
          <w:sz w:val="28"/>
          <w:szCs w:val="28"/>
        </w:rPr>
        <w:t>Должностное лицо контро</w:t>
      </w:r>
      <w:r>
        <w:rPr>
          <w:spacing w:val="2"/>
          <w:sz w:val="28"/>
          <w:szCs w:val="28"/>
        </w:rPr>
        <w:t>льного органа по обращениям кон</w:t>
      </w:r>
      <w:r w:rsidRPr="00D853CA">
        <w:rPr>
          <w:spacing w:val="2"/>
          <w:sz w:val="28"/>
          <w:szCs w:val="28"/>
        </w:rPr>
        <w:t>тролируемых лиц и их представителей</w:t>
      </w:r>
      <w:r>
        <w:rPr>
          <w:spacing w:val="2"/>
          <w:sz w:val="28"/>
          <w:szCs w:val="28"/>
        </w:rPr>
        <w:t xml:space="preserve"> осуществляет консультирование путем дачи разъяснений</w:t>
      </w:r>
      <w:r w:rsidRPr="00D853CA">
        <w:rPr>
          <w:spacing w:val="2"/>
          <w:sz w:val="28"/>
          <w:szCs w:val="28"/>
        </w:rPr>
        <w:t xml:space="preserve"> по вопросам, связанным с о</w:t>
      </w:r>
      <w:r>
        <w:rPr>
          <w:spacing w:val="2"/>
          <w:sz w:val="28"/>
          <w:szCs w:val="28"/>
        </w:rPr>
        <w:t>рганизацией и осуществлением муниципального контроля</w:t>
      </w:r>
      <w:r w:rsidR="00580554">
        <w:rPr>
          <w:spacing w:val="2"/>
          <w:sz w:val="28"/>
          <w:szCs w:val="28"/>
        </w:rPr>
        <w:t xml:space="preserve"> на</w:t>
      </w:r>
      <w:r>
        <w:rPr>
          <w:spacing w:val="2"/>
          <w:sz w:val="28"/>
          <w:szCs w:val="28"/>
        </w:rPr>
        <w:t xml:space="preserve"> </w:t>
      </w:r>
      <w:r w:rsidR="00580554" w:rsidRPr="00580554">
        <w:rPr>
          <w:spacing w:val="2"/>
          <w:sz w:val="28"/>
          <w:szCs w:val="28"/>
        </w:rPr>
        <w:t xml:space="preserve">автомобильном транспорте </w:t>
      </w:r>
      <w:r>
        <w:rPr>
          <w:spacing w:val="2"/>
          <w:sz w:val="28"/>
          <w:szCs w:val="28"/>
        </w:rPr>
        <w:t xml:space="preserve">по телефону и </w:t>
      </w:r>
      <w:r w:rsidRPr="00D853CA">
        <w:rPr>
          <w:spacing w:val="2"/>
          <w:sz w:val="28"/>
          <w:szCs w:val="28"/>
        </w:rPr>
        <w:t>на личном приеме.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D853CA">
        <w:rPr>
          <w:spacing w:val="2"/>
          <w:sz w:val="28"/>
          <w:szCs w:val="28"/>
        </w:rPr>
        <w:t>Информация о месте личног</w:t>
      </w:r>
      <w:r>
        <w:rPr>
          <w:spacing w:val="2"/>
          <w:sz w:val="28"/>
          <w:szCs w:val="28"/>
        </w:rPr>
        <w:t>о приема, а также об установлен</w:t>
      </w:r>
      <w:r w:rsidRPr="00D853CA">
        <w:rPr>
          <w:spacing w:val="2"/>
          <w:sz w:val="28"/>
          <w:szCs w:val="28"/>
        </w:rPr>
        <w:t>ных для приема днях и часах р</w:t>
      </w:r>
      <w:r>
        <w:rPr>
          <w:spacing w:val="2"/>
          <w:sz w:val="28"/>
          <w:szCs w:val="28"/>
        </w:rPr>
        <w:t>азмещается на официальном сайте;</w:t>
      </w:r>
    </w:p>
    <w:p w:rsidR="00D853CA" w:rsidRDefault="00D853CA" w:rsidP="00D853CA">
      <w:pPr>
        <w:pStyle w:val="a6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в 202</w:t>
      </w:r>
      <w:r w:rsidR="00362E93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 г. </w:t>
      </w:r>
      <w:r w:rsidRPr="00D853CA">
        <w:rPr>
          <w:spacing w:val="2"/>
          <w:sz w:val="28"/>
          <w:szCs w:val="28"/>
        </w:rPr>
        <w:t>предосте</w:t>
      </w:r>
      <w:r>
        <w:rPr>
          <w:spacing w:val="2"/>
          <w:sz w:val="28"/>
          <w:szCs w:val="28"/>
        </w:rPr>
        <w:t>режения</w:t>
      </w:r>
      <w:r w:rsidRPr="00D853CA">
        <w:rPr>
          <w:spacing w:val="2"/>
          <w:sz w:val="28"/>
          <w:szCs w:val="28"/>
        </w:rPr>
        <w:t xml:space="preserve"> о недопустимости нарушения обязательных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D853CA" w:rsidRDefault="008F29AB" w:rsidP="008F29AB">
      <w:pPr>
        <w:pStyle w:val="a6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8F29AB">
        <w:rPr>
          <w:spacing w:val="2"/>
          <w:sz w:val="28"/>
          <w:szCs w:val="28"/>
        </w:rPr>
        <w:t>Анализ и оценка рисков причинения вреда охраняемым законом ценностям.</w:t>
      </w:r>
    </w:p>
    <w:p w:rsidR="008F29AB" w:rsidRDefault="000E2485" w:rsidP="000E24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автомобильном транспорте</w:t>
      </w:r>
      <w:r w:rsidR="008F29AB" w:rsidRPr="008F29AB">
        <w:rPr>
          <w:sz w:val="28"/>
          <w:szCs w:val="28"/>
        </w:rPr>
        <w:t xml:space="preserve"> в 202</w:t>
      </w:r>
      <w:r w:rsidR="00362E93">
        <w:rPr>
          <w:sz w:val="28"/>
          <w:szCs w:val="28"/>
        </w:rPr>
        <w:t>3</w:t>
      </w:r>
      <w:r w:rsidR="008F29AB" w:rsidRPr="008F29AB">
        <w:rPr>
          <w:sz w:val="28"/>
          <w:szCs w:val="28"/>
        </w:rPr>
        <w:t xml:space="preserve"> году выявил, что ключевыми и наиболее значимыми рисками являются</w:t>
      </w:r>
    </w:p>
    <w:p w:rsidR="00D31BE4" w:rsidRPr="00F739FC" w:rsidRDefault="00D31BE4" w:rsidP="008F29AB">
      <w:pPr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8F29AB">
      <w:pPr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сфере дорожного хозяйства;</w:t>
      </w:r>
    </w:p>
    <w:p w:rsidR="00331E43" w:rsidRPr="00F739FC" w:rsidRDefault="00642482" w:rsidP="008F29AB">
      <w:pPr>
        <w:pStyle w:val="2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F73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 xml:space="preserve">ненными причинами перечисленных в подпункте 1.2.1 Положения рисков </w:t>
      </w:r>
      <w:r w:rsidR="00331E43" w:rsidRPr="00F739FC">
        <w:rPr>
          <w:rFonts w:ascii="Times New Roman" w:hAnsi="Times New Roman" w:cs="Times New Roman"/>
          <w:sz w:val="28"/>
          <w:szCs w:val="28"/>
        </w:rPr>
        <w:t>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3"/>
    </w:p>
    <w:p w:rsidR="00331E43" w:rsidRPr="00F739FC" w:rsidRDefault="000E2485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3C420F" w:rsidRDefault="00331E43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транспорте.</w:t>
      </w:r>
    </w:p>
    <w:p w:rsidR="00AD1D89" w:rsidRPr="00F739FC" w:rsidRDefault="00AD1D89" w:rsidP="00F739F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E43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 Цели и задачи реализации программы профилактики</w:t>
      </w:r>
    </w:p>
    <w:p w:rsidR="000E2485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0E2485" w:rsidP="00F739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E2485" w:rsidP="00F739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F739FC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0E2485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331E43" w:rsidRPr="00F739FC" w:rsidRDefault="00331E43" w:rsidP="00F739FC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61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101"/>
        <w:gridCol w:w="2608"/>
        <w:gridCol w:w="2195"/>
        <w:gridCol w:w="2005"/>
      </w:tblGrid>
      <w:tr w:rsidR="00331E43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№п/п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Вид мероприятия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Содержание мероприятия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Срок реализации мероприятия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0E2485" w:rsidRDefault="00331E43" w:rsidP="00F739FC">
            <w:pPr>
              <w:jc w:val="center"/>
            </w:pPr>
            <w:r w:rsidRPr="000E2485">
              <w:t>Ответственный за реализацию мероприятия исполнитель</w:t>
            </w:r>
          </w:p>
        </w:tc>
      </w:tr>
      <w:tr w:rsidR="000E2485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485" w:rsidRPr="000E2485" w:rsidRDefault="000E2485" w:rsidP="000E2485">
            <w:pPr>
              <w:jc w:val="center"/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0E2485" w:rsidRDefault="000E2485" w:rsidP="000E2485">
            <w:pPr>
              <w:rPr>
                <w:spacing w:val="2"/>
                <w:shd w:val="clear" w:color="auto" w:fill="FFFFFF"/>
              </w:rPr>
            </w:pPr>
            <w:r w:rsidRPr="000E2485">
              <w:rPr>
                <w:spacing w:val="2"/>
                <w:shd w:val="clear" w:color="auto" w:fill="FFFFFF"/>
              </w:rPr>
              <w:t>Информирова</w:t>
            </w:r>
            <w:r w:rsidRPr="000E2485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0E2485" w:rsidRPr="000E2485" w:rsidRDefault="000E2485" w:rsidP="000E2485">
            <w:pPr>
              <w:rPr>
                <w:spacing w:val="2"/>
                <w:shd w:val="clear" w:color="auto" w:fill="FFFFFF"/>
              </w:rPr>
            </w:pPr>
            <w:r w:rsidRPr="000E2485">
              <w:rPr>
                <w:spacing w:val="2"/>
                <w:shd w:val="clear" w:color="auto" w:fill="FFFFFF"/>
              </w:rPr>
              <w:t>контролируе</w:t>
            </w:r>
            <w:r w:rsidRPr="000E2485">
              <w:rPr>
                <w:spacing w:val="2"/>
                <w:shd w:val="clear" w:color="auto" w:fill="FFFFFF"/>
              </w:rPr>
              <w:softHyphen/>
              <w:t>мых и иных заинтересован</w:t>
            </w:r>
            <w:r w:rsidRPr="000E2485">
              <w:rPr>
                <w:spacing w:val="2"/>
                <w:shd w:val="clear" w:color="auto" w:fill="FFFFFF"/>
              </w:rPr>
              <w:softHyphen/>
              <w:t>ных лиц по вопросам соблюдения</w:t>
            </w:r>
          </w:p>
          <w:p w:rsidR="000E2485" w:rsidRPr="000E2485" w:rsidRDefault="000E2485" w:rsidP="000E2485">
            <w:pPr>
              <w:shd w:val="clear" w:color="auto" w:fill="FFFFFF"/>
            </w:pPr>
            <w:r w:rsidRPr="000E2485">
              <w:rPr>
                <w:spacing w:val="2"/>
                <w:shd w:val="clear" w:color="auto" w:fill="FFFFFF"/>
              </w:rPr>
              <w:t>обязательных требований</w:t>
            </w:r>
            <w:r w:rsidRPr="000E2485">
              <w:t xml:space="preserve"> </w:t>
            </w:r>
          </w:p>
          <w:p w:rsidR="000E2485" w:rsidRPr="000E2485" w:rsidRDefault="000E2485" w:rsidP="000E2485"/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2485" w:rsidRPr="000E2485" w:rsidRDefault="000E2485" w:rsidP="000E2485">
            <w:r w:rsidRPr="000E2485">
              <w:t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закона 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pPr>
              <w:jc w:val="center"/>
            </w:pPr>
            <w:r w:rsidRPr="00B30720">
              <w:t>Постоянно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362E93" w:rsidP="000E2485">
            <w:pPr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>Ведущий специалист</w:t>
            </w:r>
            <w:r w:rsidR="00B30720" w:rsidRPr="00B30720">
              <w:rPr>
                <w:rFonts w:eastAsia="Calibri"/>
                <w:lang w:eastAsia="en-US"/>
              </w:rPr>
              <w:t xml:space="preserve"> администрации сельского поселения Кубанец </w:t>
            </w:r>
            <w:proofErr w:type="spellStart"/>
            <w:r w:rsidR="00B30720" w:rsidRPr="00B30720">
              <w:rPr>
                <w:rFonts w:eastAsia="Calibri"/>
                <w:lang w:eastAsia="en-US"/>
              </w:rPr>
              <w:t>Тимашевского</w:t>
            </w:r>
            <w:proofErr w:type="spellEnd"/>
            <w:r w:rsidR="00B30720" w:rsidRPr="00B30720">
              <w:rPr>
                <w:rFonts w:eastAsia="Calibri"/>
                <w:lang w:eastAsia="en-US"/>
              </w:rPr>
              <w:t xml:space="preserve"> района, в должностные обязанности которых осуществление полномочий </w:t>
            </w:r>
            <w:r w:rsidR="00B30720" w:rsidRPr="00B30720">
              <w:rPr>
                <w:color w:val="000000"/>
              </w:rPr>
              <w:t>по муниципальному контролю на автомобильном транспорте</w:t>
            </w:r>
            <w:r w:rsidR="00B30720" w:rsidRPr="00B30720">
              <w:rPr>
                <w:rFonts w:eastAsia="Calibri"/>
                <w:lang w:eastAsia="en-US"/>
              </w:rPr>
              <w:t xml:space="preserve">, в том числе </w:t>
            </w:r>
            <w:r w:rsidR="00B30720" w:rsidRPr="00B30720">
              <w:rPr>
                <w:rFonts w:eastAsia="Calibri"/>
                <w:lang w:eastAsia="en-US"/>
              </w:rPr>
              <w:lastRenderedPageBreak/>
              <w:t xml:space="preserve">проведение профилактических мероприятий и контрольных мероприятий </w:t>
            </w:r>
            <w:r w:rsidR="00B30720">
              <w:rPr>
                <w:rFonts w:eastAsia="Calibri"/>
                <w:lang w:eastAsia="en-US"/>
              </w:rPr>
              <w:t>(далее – специалист администрации сельского поселения Кубанец)</w:t>
            </w:r>
          </w:p>
          <w:p w:rsidR="000E2485" w:rsidRPr="00B30720" w:rsidRDefault="000E2485" w:rsidP="000E2485"/>
        </w:tc>
      </w:tr>
      <w:tr w:rsidR="000E2485" w:rsidRPr="00F739FC" w:rsidTr="00AD1D89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B30720" w:rsidP="00F739FC">
            <w:pPr>
              <w:jc w:val="center"/>
            </w:pPr>
            <w:r w:rsidRPr="00B30720">
              <w:lastRenderedPageBreak/>
              <w:t>2</w:t>
            </w:r>
          </w:p>
        </w:tc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r w:rsidRPr="00B30720">
              <w:rPr>
                <w:spacing w:val="2"/>
                <w:shd w:val="clear" w:color="auto" w:fill="FFFFFF"/>
              </w:rPr>
              <w:t>Обобщение пра</w:t>
            </w:r>
            <w:r w:rsidRPr="00B30720">
              <w:rPr>
                <w:spacing w:val="2"/>
                <w:shd w:val="clear" w:color="auto" w:fill="FFFFFF"/>
              </w:rPr>
              <w:softHyphen/>
              <w:t>воприменитель</w:t>
            </w:r>
            <w:r w:rsidRPr="00B30720">
              <w:rPr>
                <w:spacing w:val="2"/>
                <w:shd w:val="clear" w:color="auto" w:fill="FFFFFF"/>
              </w:rPr>
              <w:softHyphen/>
              <w:t xml:space="preserve">ной практики </w:t>
            </w:r>
          </w:p>
          <w:p w:rsidR="000E2485" w:rsidRPr="00B30720" w:rsidRDefault="000E2485" w:rsidP="00F739FC">
            <w:pPr>
              <w:shd w:val="clear" w:color="auto" w:fill="FFFFFF"/>
              <w:ind w:firstLine="187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0E2485" w:rsidP="000E2485">
            <w:r w:rsidRPr="00B30720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0E2485" w:rsidRDefault="000E2485" w:rsidP="000E2485">
            <w:r w:rsidRPr="00B30720"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осуществлению муниципального контроля.</w:t>
            </w:r>
          </w:p>
          <w:p w:rsidR="00AD1D89" w:rsidRPr="00B30720" w:rsidRDefault="00AD1D89" w:rsidP="000E2485"/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720" w:rsidRPr="00B30720" w:rsidRDefault="00B30720" w:rsidP="00F739FC">
            <w:pPr>
              <w:jc w:val="center"/>
            </w:pPr>
            <w:r w:rsidRPr="00B30720">
              <w:t xml:space="preserve">В срок до </w:t>
            </w:r>
          </w:p>
          <w:p w:rsidR="000E2485" w:rsidRPr="00B30720" w:rsidRDefault="00B30720" w:rsidP="00362E93">
            <w:pPr>
              <w:jc w:val="center"/>
            </w:pPr>
            <w:r w:rsidRPr="00B30720">
              <w:t>15 марта 202</w:t>
            </w:r>
            <w:r w:rsidR="00362E93">
              <w:t>4</w:t>
            </w:r>
            <w:r w:rsidRPr="00B30720">
              <w:t xml:space="preserve"> г.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485" w:rsidRPr="00B30720" w:rsidRDefault="00B30720" w:rsidP="00F739FC">
            <w:r w:rsidRPr="00B30720">
              <w:rPr>
                <w:rFonts w:eastAsia="Calibri"/>
                <w:lang w:eastAsia="en-US"/>
              </w:rPr>
              <w:t>Специалист администрации сельского поселения Кубанец</w:t>
            </w:r>
            <w:r w:rsidRPr="00B30720">
              <w:t xml:space="preserve"> </w:t>
            </w:r>
          </w:p>
        </w:tc>
      </w:tr>
      <w:tr w:rsidR="00B30720" w:rsidRPr="00F739FC" w:rsidTr="00AD1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jc w:val="center"/>
            </w:pPr>
            <w:r>
              <w:t>3.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3072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Проведение консультирования осуществляется должностными лицами Контрольного органа в устной и письменной форме по следующим вопросам: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1) организации и осуществления муниципального земельного контроля;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2) порядок осуществления профилактических, контрольных мероприятий муниципального земельного контроля;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3)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lastRenderedPageBreak/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контрольного мероприятий.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Консультирование в устной форме осуществляется по телефону, на личном приеме, в ходе проведения профилактического или контрольного мероприятия.</w:t>
            </w:r>
          </w:p>
          <w:p w:rsidR="00B30720" w:rsidRPr="00B30720" w:rsidRDefault="00B30720" w:rsidP="00B30720">
            <w:pPr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B30720">
              <w:rPr>
                <w:spacing w:val="2"/>
              </w:rPr>
              <w:t>Консультирование в письменной форме осуществляется в порядке, установленном Федеральным законом от 2 мая 2006 г. № 59-ФЗ «О порядке рассмотрения обращения граждан Российской Федерации».</w:t>
            </w:r>
          </w:p>
          <w:p w:rsidR="00B30720" w:rsidRPr="00B30720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B30720" w:rsidRDefault="00B30720" w:rsidP="00B30720">
            <w:r w:rsidRPr="00B30720">
              <w:lastRenderedPageBreak/>
              <w:t>По мере обращения контролируемых лиц, в консультировании, в течение 30 дней со дня регистрации обращения</w:t>
            </w:r>
            <w:r>
              <w:t>, при письменном консультировании</w:t>
            </w:r>
          </w:p>
          <w:p w:rsidR="00B30720" w:rsidRPr="00B30720" w:rsidRDefault="00B30720" w:rsidP="00B30720"/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F739FC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lang w:eastAsia="en-US"/>
              </w:rPr>
              <w:t>сельского поселения Кубанец</w:t>
            </w:r>
          </w:p>
        </w:tc>
      </w:tr>
      <w:tr w:rsidR="00B30720" w:rsidRPr="00F739FC" w:rsidTr="00AD1D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 w:rsidRPr="00170825">
              <w:rPr>
                <w:sz w:val="26"/>
                <w:szCs w:val="26"/>
                <w:lang w:eastAsia="en-US"/>
              </w:rPr>
              <w:t>Объявление предостереже</w:t>
            </w:r>
            <w:r w:rsidRPr="00170825">
              <w:rPr>
                <w:sz w:val="26"/>
                <w:szCs w:val="26"/>
                <w:lang w:eastAsia="en-US"/>
              </w:rPr>
              <w:softHyphen/>
              <w:t>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70825">
              <w:rPr>
                <w:sz w:val="26"/>
                <w:szCs w:val="26"/>
              </w:rPr>
              <w:t xml:space="preserve">В случае наличия у </w:t>
            </w:r>
            <w:r w:rsidRPr="00B30720">
              <w:rPr>
                <w:sz w:val="26"/>
                <w:szCs w:val="26"/>
              </w:rPr>
              <w:t>Кон</w:t>
            </w:r>
            <w:r w:rsidRPr="00170825">
              <w:rPr>
                <w:sz w:val="26"/>
                <w:szCs w:val="26"/>
              </w:rPr>
              <w:t xml:space="preserve">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 w:rsidRPr="00170825">
              <w:rPr>
                <w:sz w:val="26"/>
                <w:szCs w:val="26"/>
              </w:rPr>
              <w:lastRenderedPageBreak/>
              <w:t xml:space="preserve">ценностям, </w:t>
            </w:r>
            <w:r>
              <w:rPr>
                <w:sz w:val="26"/>
                <w:szCs w:val="26"/>
              </w:rPr>
              <w:t>К</w:t>
            </w:r>
            <w:r w:rsidRPr="00170825">
              <w:rPr>
                <w:sz w:val="26"/>
                <w:szCs w:val="26"/>
              </w:rPr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соблюдения обязательных требований.</w:t>
            </w:r>
          </w:p>
          <w:p w:rsidR="00B30720" w:rsidRPr="00F739FC" w:rsidRDefault="00B30720" w:rsidP="00B3072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362E93">
            <w:pPr>
              <w:rPr>
                <w:sz w:val="28"/>
                <w:szCs w:val="28"/>
              </w:rPr>
            </w:pPr>
            <w:r>
              <w:lastRenderedPageBreak/>
              <w:t>По мере необходимости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20" w:rsidRPr="00F739FC" w:rsidRDefault="00B30720" w:rsidP="00B30720">
            <w:pPr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Специалист администрации сельского поселения Кубанец,</w:t>
            </w:r>
          </w:p>
        </w:tc>
      </w:tr>
    </w:tbl>
    <w:p w:rsidR="0085313C" w:rsidRPr="00F739FC" w:rsidRDefault="0085313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B30720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результативности и эффективности программы профилактики</w:t>
      </w:r>
    </w:p>
    <w:p w:rsidR="00331E43" w:rsidRPr="00F739FC" w:rsidRDefault="00331E43" w:rsidP="00F739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331E43" w:rsidP="00F739FC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739FC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331E43" w:rsidRPr="00F739FC" w:rsidRDefault="00331E43" w:rsidP="00F739FC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№</w:t>
            </w:r>
          </w:p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 xml:space="preserve">(если имелись случаи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AD1D89">
              <w:t>)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 xml:space="preserve">Доля случаев повторного обращения контролируемых лиц в письменной форме по тому же вопросу муниципального </w:t>
            </w:r>
            <w:r w:rsidRPr="00AD1D89">
              <w:lastRenderedPageBreak/>
              <w:t>контроля</w:t>
            </w:r>
            <w:r w:rsidR="005D68C3" w:rsidRPr="00AD1D89"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lastRenderedPageBreak/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>по вопросам муниципального контроля</w:t>
            </w:r>
            <w:r w:rsidR="005D68C3" w:rsidRPr="00AD1D89">
              <w:t xml:space="preserve">  на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</w:pPr>
            <w:r w:rsidRPr="00AD1D89"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AD1D89">
            <w:pPr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</w:tbl>
    <w:p w:rsidR="00B91AE0" w:rsidRDefault="00B91AE0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AD1D89" w:rsidRPr="007C59FF" w:rsidRDefault="00AD1D89" w:rsidP="00AD1D89">
      <w:pPr>
        <w:ind w:firstLine="567"/>
        <w:jc w:val="both"/>
        <w:rPr>
          <w:sz w:val="28"/>
          <w:szCs w:val="28"/>
        </w:rPr>
      </w:pPr>
      <w:r w:rsidRPr="007C59FF">
        <w:rPr>
          <w:sz w:val="28"/>
          <w:szCs w:val="28"/>
        </w:rPr>
        <w:t xml:space="preserve">Результаты оценки эффективности и результативности Программы отражаются в ежегодном докладе о правоприменительной практике по осуществлению муниципального контроля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Default="00580554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 сельского поселения Кубанец</w:t>
      </w:r>
    </w:p>
    <w:p w:rsidR="00F739FC" w:rsidRPr="00F739FC" w:rsidRDefault="00F739FC" w:rsidP="00F739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739FC">
        <w:rPr>
          <w:color w:val="000000"/>
          <w:sz w:val="28"/>
          <w:szCs w:val="28"/>
        </w:rPr>
        <w:t>Тимашевского</w:t>
      </w:r>
      <w:proofErr w:type="spellEnd"/>
      <w:r w:rsidRPr="00F739FC">
        <w:rPr>
          <w:color w:val="000000"/>
          <w:sz w:val="28"/>
          <w:szCs w:val="28"/>
        </w:rPr>
        <w:t xml:space="preserve"> района                                                                           Н.А. Дема</w:t>
      </w:r>
    </w:p>
    <w:p w:rsidR="00F739FC" w:rsidRPr="00F739FC" w:rsidRDefault="00F739FC" w:rsidP="00F739FC">
      <w:pPr>
        <w:pStyle w:val="s1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681AFC">
      <w:headerReference w:type="even" r:id="rId10"/>
      <w:headerReference w:type="default" r:id="rId11"/>
      <w:footerReference w:type="defaul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43" w:rsidRDefault="00F92943" w:rsidP="0081527A">
      <w:r>
        <w:separator/>
      </w:r>
    </w:p>
  </w:endnote>
  <w:endnote w:type="continuationSeparator" w:id="0">
    <w:p w:rsidR="00F92943" w:rsidRDefault="00F92943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43" w:rsidRDefault="00F92943" w:rsidP="0081527A">
      <w:r>
        <w:separator/>
      </w:r>
    </w:p>
  </w:footnote>
  <w:footnote w:type="continuationSeparator" w:id="0">
    <w:p w:rsidR="00F92943" w:rsidRDefault="00F92943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1D89" w:rsidRPr="00AD1D89" w:rsidRDefault="00AD1D89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C70BAC">
          <w:rPr>
            <w:noProof/>
            <w:sz w:val="28"/>
            <w:szCs w:val="28"/>
          </w:rPr>
          <w:t>9</w:t>
        </w:r>
        <w:r w:rsidRPr="00AD1D89">
          <w:rPr>
            <w:sz w:val="28"/>
            <w:szCs w:val="28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C140C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B3C"/>
    <w:rsid w:val="002438A4"/>
    <w:rsid w:val="00250F0B"/>
    <w:rsid w:val="0025163D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2E93"/>
    <w:rsid w:val="00366A25"/>
    <w:rsid w:val="00380499"/>
    <w:rsid w:val="00393EBF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3F7DCF"/>
    <w:rsid w:val="00405BA7"/>
    <w:rsid w:val="00412DAC"/>
    <w:rsid w:val="00415E5A"/>
    <w:rsid w:val="00416865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5FAF"/>
    <w:rsid w:val="005D68C3"/>
    <w:rsid w:val="005D7CBC"/>
    <w:rsid w:val="005F1884"/>
    <w:rsid w:val="00603B56"/>
    <w:rsid w:val="00604705"/>
    <w:rsid w:val="00604B0A"/>
    <w:rsid w:val="006219D2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1AFC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C79E5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1B4"/>
    <w:rsid w:val="00850FFF"/>
    <w:rsid w:val="00851D66"/>
    <w:rsid w:val="0085313C"/>
    <w:rsid w:val="00860DC8"/>
    <w:rsid w:val="00863D0B"/>
    <w:rsid w:val="00871732"/>
    <w:rsid w:val="008851A9"/>
    <w:rsid w:val="0089481C"/>
    <w:rsid w:val="00896B5A"/>
    <w:rsid w:val="00897F14"/>
    <w:rsid w:val="008B4E01"/>
    <w:rsid w:val="008C4A4D"/>
    <w:rsid w:val="008E5D3C"/>
    <w:rsid w:val="008F29AB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82842"/>
    <w:rsid w:val="00993E07"/>
    <w:rsid w:val="00995111"/>
    <w:rsid w:val="009C70B1"/>
    <w:rsid w:val="009D0A0E"/>
    <w:rsid w:val="009D1577"/>
    <w:rsid w:val="009E7954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A3E"/>
    <w:rsid w:val="00AB4664"/>
    <w:rsid w:val="00AB5651"/>
    <w:rsid w:val="00AC36B0"/>
    <w:rsid w:val="00AD1D89"/>
    <w:rsid w:val="00AD7328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0BAC"/>
    <w:rsid w:val="00C71DE8"/>
    <w:rsid w:val="00C72CD6"/>
    <w:rsid w:val="00C74859"/>
    <w:rsid w:val="00C84A2C"/>
    <w:rsid w:val="00C9221B"/>
    <w:rsid w:val="00C9713B"/>
    <w:rsid w:val="00CA12D0"/>
    <w:rsid w:val="00CA1746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44765"/>
    <w:rsid w:val="00D577F9"/>
    <w:rsid w:val="00D74B12"/>
    <w:rsid w:val="00D80840"/>
    <w:rsid w:val="00D849B4"/>
    <w:rsid w:val="00D853CA"/>
    <w:rsid w:val="00D87076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C49E5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92943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CCFE"/>
  <w15:docId w15:val="{E935B406-B710-4083-9391-158A210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markedcontent">
    <w:name w:val="markedcontent"/>
    <w:uiPriority w:val="99"/>
    <w:rsid w:val="003F7D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kubane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EFB4-AE04-4861-B9CA-3661A070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User</cp:lastModifiedBy>
  <cp:revision>5</cp:revision>
  <cp:lastPrinted>2023-12-15T04:47:00Z</cp:lastPrinted>
  <dcterms:created xsi:type="dcterms:W3CDTF">2023-12-11T10:41:00Z</dcterms:created>
  <dcterms:modified xsi:type="dcterms:W3CDTF">2024-01-19T05:13:00Z</dcterms:modified>
</cp:coreProperties>
</file>