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>
          <w:lang w:val="ru-RU"/>
        </w:rPr>
      </w:pPr>
      <w:r>
        <w:rPr>
          <w:rFonts w:eastAsia="Times New Roman" w:cs="Times New Roman"/>
          <w:b/>
          <w:color w:val="04070C"/>
          <w:lang w:val="ru-RU" w:eastAsia="ru-RU"/>
        </w:rPr>
        <w:t xml:space="preserve">Аннотация к рабочей программе </w:t>
      </w:r>
    </w:p>
    <w:p>
      <w:pPr>
        <w:pStyle w:val="Standard"/>
        <w:jc w:val="center"/>
        <w:rPr>
          <w:lang w:val="ru-RU"/>
        </w:rPr>
      </w:pPr>
      <w:r>
        <w:rPr>
          <w:rFonts w:eastAsia="Times New Roman" w:cs="Times New Roman"/>
          <w:b/>
          <w:color w:val="04070C"/>
          <w:lang w:val="ru-RU" w:eastAsia="ru-RU"/>
        </w:rPr>
        <w:t xml:space="preserve">по коррекционному курсу </w:t>
      </w:r>
    </w:p>
    <w:p>
      <w:pPr>
        <w:pStyle w:val="Normal"/>
        <w:jc w:val="center"/>
        <w:rPr>
          <w:rFonts w:eastAsia="Times New Roman" w:cs="Times New Roman"/>
          <w:b/>
          <w:color w:val="04070C"/>
          <w:lang w:eastAsia="ru-RU"/>
        </w:rPr>
      </w:pPr>
      <w:r>
        <w:rPr>
          <w:rFonts w:eastAsia="Calibri" w:cs="Times New Roman"/>
          <w:b/>
          <w:color w:val="04070C"/>
          <w:szCs w:val="22"/>
          <w:lang w:val="ru-RU" w:eastAsia="en-US" w:bidi="ar-SA"/>
        </w:rPr>
        <w:t>“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>Сенсорное развитие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 xml:space="preserve">” для 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>2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 xml:space="preserve"> класса</w:t>
      </w:r>
    </w:p>
    <w:p>
      <w:pPr>
        <w:pStyle w:val="Standard"/>
        <w:jc w:val="center"/>
        <w:rPr>
          <w:rFonts w:eastAsia="Times New Roman" w:cs="Times New Roman"/>
          <w:color w:val="04070C"/>
          <w:lang w:eastAsia="ru-RU"/>
        </w:rPr>
      </w:pPr>
      <w:r>
        <w:rPr>
          <w:rFonts w:eastAsia="Times New Roman" w:cs="Times New Roman"/>
          <w:color w:val="04070C"/>
          <w:lang w:eastAsia="ru-RU"/>
        </w:rPr>
      </w:r>
    </w:p>
    <w:p>
      <w:pPr>
        <w:pStyle w:val="Normal"/>
        <w:widowControl/>
        <w:spacing w:lineRule="auto" w:line="276"/>
        <w:ind w:firstLine="708"/>
        <w:jc w:val="both"/>
        <w:rPr>
          <w:rFonts w:eastAsia="Calibri" w:cs="Times New Roman"/>
          <w:szCs w:val="22"/>
          <w:lang w:val="ru-RU" w:eastAsia="en-US" w:bidi="ar-SA"/>
        </w:rPr>
      </w:pPr>
      <w:r>
        <w:rPr>
          <w:rFonts w:eastAsia="Calibri" w:cs="Times New Roman"/>
          <w:szCs w:val="22"/>
          <w:lang w:val="ru-RU" w:eastAsia="en-US" w:bidi="ar-SA"/>
        </w:rPr>
        <w:t xml:space="preserve">Рабочая программа по коррекционному предмету “Сенсорное развитие” для 2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на 2026-2027 учебный год (вариант 2). </w:t>
      </w:r>
    </w:p>
    <w:p>
      <w:pPr>
        <w:pStyle w:val="Normal"/>
        <w:widowControl/>
        <w:spacing w:lineRule="auto" w:line="276"/>
        <w:ind w:firstLine="708"/>
        <w:jc w:val="both"/>
        <w:rPr>
          <w:rFonts w:eastAsia="Calibri" w:cs="Times New Roman"/>
          <w:szCs w:val="22"/>
          <w:lang w:val="ru-RU" w:eastAsia="en-US" w:bidi="ar-SA"/>
        </w:rPr>
      </w:pPr>
      <w:r>
        <w:rPr>
          <w:rFonts w:eastAsia="Calibri" w:cs="Times New Roman"/>
          <w:b/>
          <w:lang w:val="ru-RU"/>
        </w:rPr>
        <w:t>Цель:</w:t>
      </w:r>
      <w:r>
        <w:rPr>
          <w:rFonts w:eastAsia="Calibri" w:cs="Times New Roman"/>
          <w:lang w:val="ru-RU"/>
        </w:rPr>
        <w:t xml:space="preserve"> создать оптимальные условия</w:t>
      </w:r>
      <w:r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val="ru-RU" w:eastAsia="ru-RU"/>
        </w:rPr>
        <w:t xml:space="preserve">для познания учащимися сенсорных свойств объектов и явлений окружающей действительности, а также формирования у них объективной и многогранной картины окружающего мира, способствующей оптимизации психического развития и более эффективной социализации и адаптации в обществе. </w:t>
      </w:r>
    </w:p>
    <w:p>
      <w:pPr>
        <w:pStyle w:val="NoSpacing"/>
        <w:spacing w:lineRule="auto" w:line="276"/>
        <w:ind w:firstLine="708"/>
        <w:rPr>
          <w:rFonts w:cs="Times New Roman"/>
          <w:b/>
          <w:i/>
          <w:i/>
          <w:lang w:val="ru-RU" w:eastAsia="ru-RU"/>
        </w:rPr>
      </w:pPr>
      <w:r>
        <w:rPr>
          <w:rFonts w:cs="Times New Roman"/>
          <w:b/>
          <w:lang w:eastAsia="ru-RU"/>
        </w:rPr>
        <w:t>Задач</w:t>
      </w:r>
      <w:r>
        <w:rPr>
          <w:rFonts w:cs="Times New Roman"/>
          <w:b/>
          <w:lang w:val="ru-RU" w:eastAsia="ru-RU"/>
        </w:rPr>
        <w:t>и: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 xml:space="preserve">- </w:t>
      </w:r>
      <w:r>
        <w:rPr>
          <w:rFonts w:cs="Times New Roman"/>
          <w:lang w:eastAsia="ru-RU"/>
        </w:rPr>
        <w:t>обогащ</w:t>
      </w:r>
      <w:r>
        <w:rPr>
          <w:rFonts w:cs="Times New Roman"/>
          <w:lang w:val="ru-RU" w:eastAsia="ru-RU"/>
        </w:rPr>
        <w:t>ать</w:t>
      </w:r>
      <w:r>
        <w:rPr>
          <w:rFonts w:cs="Times New Roman"/>
          <w:lang w:eastAsia="ru-RU"/>
        </w:rPr>
        <w:t xml:space="preserve"> чувственн</w:t>
      </w:r>
      <w:r>
        <w:rPr>
          <w:rFonts w:cs="Times New Roman"/>
          <w:lang w:val="ru-RU" w:eastAsia="ru-RU"/>
        </w:rPr>
        <w:t>ый</w:t>
      </w:r>
      <w:r>
        <w:rPr>
          <w:rFonts w:cs="Times New Roman"/>
          <w:lang w:eastAsia="ru-RU"/>
        </w:rPr>
        <w:t xml:space="preserve"> познавательн</w:t>
      </w:r>
      <w:r>
        <w:rPr>
          <w:rFonts w:cs="Times New Roman"/>
          <w:lang w:val="ru-RU" w:eastAsia="ru-RU"/>
        </w:rPr>
        <w:t>ый</w:t>
      </w:r>
      <w:r>
        <w:rPr>
          <w:rFonts w:cs="Times New Roman"/>
          <w:lang w:eastAsia="ru-RU"/>
        </w:rPr>
        <w:t xml:space="preserve"> опыт</w:t>
      </w:r>
      <w:r>
        <w:rPr>
          <w:rFonts w:cs="Times New Roman"/>
          <w:lang w:val="ru-RU" w:eastAsia="ru-RU"/>
        </w:rPr>
        <w:t xml:space="preserve"> за счет активизации работы органов чувств;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- актуализировать и совершенствовать навыки</w:t>
      </w:r>
      <w:r>
        <w:rPr>
          <w:rFonts w:cs="Times New Roman"/>
          <w:lang w:eastAsia="ru-RU"/>
        </w:rPr>
        <w:t xml:space="preserve"> наблюд</w:t>
      </w:r>
      <w:r>
        <w:rPr>
          <w:rFonts w:cs="Times New Roman"/>
          <w:lang w:val="ru-RU" w:eastAsia="ru-RU"/>
        </w:rPr>
        <w:t>ения, сравнения объектов и явлений окружающей действительности</w:t>
      </w:r>
      <w:r>
        <w:rPr>
          <w:rFonts w:cs="Times New Roman"/>
          <w:lang w:eastAsia="ru-RU"/>
        </w:rPr>
        <w:t>,</w:t>
      </w:r>
      <w:r>
        <w:rPr>
          <w:rFonts w:cs="Times New Roman"/>
          <w:lang w:val="ru-RU" w:eastAsia="ru-RU"/>
        </w:rPr>
        <w:t xml:space="preserve"> обобщения и </w:t>
      </w:r>
      <w:r>
        <w:rPr>
          <w:rFonts w:cs="Times New Roman"/>
          <w:lang w:eastAsia="ru-RU"/>
        </w:rPr>
        <w:t>выдел</w:t>
      </w:r>
      <w:r>
        <w:rPr>
          <w:rFonts w:cs="Times New Roman"/>
          <w:lang w:val="ru-RU" w:eastAsia="ru-RU"/>
        </w:rPr>
        <w:t>ения</w:t>
      </w:r>
      <w:r>
        <w:rPr>
          <w:rFonts w:cs="Times New Roman"/>
          <w:lang w:eastAsia="ru-RU"/>
        </w:rPr>
        <w:t xml:space="preserve"> существенны</w:t>
      </w:r>
      <w:r>
        <w:rPr>
          <w:rFonts w:cs="Times New Roman"/>
          <w:lang w:val="ru-RU" w:eastAsia="ru-RU"/>
        </w:rPr>
        <w:t>х</w:t>
      </w:r>
      <w:r>
        <w:rPr>
          <w:rFonts w:cs="Times New Roman"/>
          <w:lang w:eastAsia="ru-RU"/>
        </w:rPr>
        <w:t xml:space="preserve"> признак</w:t>
      </w:r>
      <w:r>
        <w:rPr>
          <w:rFonts w:cs="Times New Roman"/>
          <w:lang w:val="ru-RU" w:eastAsia="ru-RU"/>
        </w:rPr>
        <w:t>ов</w:t>
      </w:r>
      <w:r>
        <w:rPr>
          <w:rFonts w:cs="Times New Roman"/>
          <w:lang w:eastAsia="ru-RU"/>
        </w:rPr>
        <w:t xml:space="preserve"> </w:t>
      </w:r>
      <w:r>
        <w:rPr>
          <w:rFonts w:cs="Times New Roman"/>
          <w:lang w:val="ru-RU" w:eastAsia="ru-RU"/>
        </w:rPr>
        <w:t>объектов</w:t>
      </w:r>
      <w:r>
        <w:rPr>
          <w:rFonts w:cs="Times New Roman"/>
          <w:lang w:eastAsia="ru-RU"/>
        </w:rPr>
        <w:t xml:space="preserve"> и явлений</w:t>
      </w:r>
      <w:r>
        <w:rPr>
          <w:rFonts w:cs="Times New Roman"/>
          <w:lang w:val="ru-RU" w:eastAsia="ru-RU"/>
        </w:rPr>
        <w:t xml:space="preserve">; 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- совершенствовать слуховую и зрительную память, пространственное мышление и воображение;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 xml:space="preserve">способствовать коррекции недостатков познавательной деятельности </w:t>
      </w:r>
      <w:r>
        <w:rPr>
          <w:rFonts w:eastAsia="Times New Roman" w:cs="Times New Roman"/>
          <w:color w:val="04070C"/>
          <w:lang w:val="ru-RU" w:eastAsia="ru-RU"/>
        </w:rPr>
        <w:t>учащихся</w:t>
      </w:r>
      <w:r>
        <w:rPr>
          <w:rFonts w:eastAsia="Times New Roman" w:cs="Times New Roman"/>
          <w:color w:val="04070C"/>
          <w:lang w:eastAsia="ru-RU"/>
        </w:rPr>
        <w:t xml:space="preserve"> путем систематического и целенаправленного воспитания у них полноценного восприятия</w:t>
      </w:r>
      <w:r>
        <w:rPr>
          <w:rFonts w:eastAsia="Times New Roman" w:cs="Times New Roman"/>
          <w:color w:val="04070C"/>
          <w:lang w:val="ru-RU" w:eastAsia="ru-RU"/>
        </w:rPr>
        <w:t xml:space="preserve"> различных свойств объектов и явлений окружающей действительности:</w:t>
      </w:r>
      <w:r>
        <w:rPr>
          <w:rFonts w:eastAsia="Times New Roman" w:cs="Times New Roman"/>
          <w:color w:val="04070C"/>
          <w:lang w:eastAsia="ru-RU"/>
        </w:rPr>
        <w:t xml:space="preserve"> формы, </w:t>
      </w:r>
      <w:r>
        <w:rPr>
          <w:rFonts w:eastAsia="Times New Roman" w:cs="Times New Roman"/>
          <w:color w:val="04070C"/>
          <w:lang w:val="ru-RU" w:eastAsia="ru-RU"/>
        </w:rPr>
        <w:t>размера</w:t>
      </w:r>
      <w:r>
        <w:rPr>
          <w:rFonts w:eastAsia="Times New Roman" w:cs="Times New Roman"/>
          <w:color w:val="04070C"/>
          <w:lang w:eastAsia="ru-RU"/>
        </w:rPr>
        <w:t>, величины, цвета</w:t>
      </w:r>
      <w:r>
        <w:rPr>
          <w:rFonts w:eastAsia="Times New Roman" w:cs="Times New Roman"/>
          <w:color w:val="04070C"/>
          <w:lang w:val="ru-RU" w:eastAsia="ru-RU"/>
        </w:rPr>
        <w:t xml:space="preserve"> и др.;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>формировать способност</w:t>
      </w:r>
      <w:r>
        <w:rPr>
          <w:rFonts w:eastAsia="Times New Roman" w:cs="Times New Roman"/>
          <w:color w:val="04070C"/>
          <w:lang w:val="ru-RU" w:eastAsia="ru-RU"/>
        </w:rPr>
        <w:t>ь</w:t>
      </w:r>
      <w:r>
        <w:rPr>
          <w:rFonts w:eastAsia="Times New Roman" w:cs="Times New Roman"/>
          <w:color w:val="04070C"/>
          <w:lang w:eastAsia="ru-RU"/>
        </w:rPr>
        <w:t xml:space="preserve"> эстетически воспринимать окружающий мир во всем многообразии свойств и признаков его объектов (цветов, вкусов, запахов, звуков, ритмов);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 xml:space="preserve">совершенствовать навык ориентации в пространстве </w:t>
      </w:r>
      <w:r>
        <w:rPr>
          <w:rFonts w:eastAsia="Times New Roman" w:cs="Times New Roman"/>
          <w:color w:val="04070C"/>
          <w:lang w:val="ru-RU" w:eastAsia="ru-RU"/>
        </w:rPr>
        <w:t>и умение понимать и обозначать в речи пространственные отношения между предметами;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формировать навык ориентации во времени;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развивать динамическую координацию различных частей тела и навыки мелкой моторики;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 xml:space="preserve">развивать слухомоторную </w:t>
      </w:r>
      <w:r>
        <w:rPr>
          <w:rFonts w:eastAsia="Times New Roman" w:cs="Times New Roman"/>
          <w:color w:val="04070C"/>
          <w:lang w:val="ru-RU" w:eastAsia="ru-RU"/>
        </w:rPr>
        <w:t>и зрительно-двигательную</w:t>
      </w:r>
      <w:r>
        <w:rPr>
          <w:rFonts w:eastAsia="Times New Roman" w:cs="Times New Roman"/>
          <w:color w:val="04070C"/>
          <w:lang w:eastAsia="ru-RU"/>
        </w:rPr>
        <w:t xml:space="preserve"> координаци</w:t>
      </w:r>
      <w:r>
        <w:rPr>
          <w:rFonts w:eastAsia="Times New Roman" w:cs="Times New Roman"/>
          <w:color w:val="04070C"/>
          <w:lang w:val="ru-RU" w:eastAsia="ru-RU"/>
        </w:rPr>
        <w:t>ю</w:t>
      </w:r>
      <w:r>
        <w:rPr>
          <w:rFonts w:eastAsia="Times New Roman" w:cs="Times New Roman"/>
          <w:color w:val="04070C"/>
          <w:lang w:eastAsia="ru-RU"/>
        </w:rPr>
        <w:t>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cs="Times New Roman"/>
          <w:lang w:val="ru-RU" w:eastAsia="ru-RU"/>
        </w:rPr>
        <w:t>развивать</w:t>
      </w:r>
      <w:r>
        <w:rPr>
          <w:rFonts w:cs="Times New Roman"/>
          <w:lang w:eastAsia="ru-RU"/>
        </w:rPr>
        <w:t xml:space="preserve"> навык</w:t>
      </w:r>
      <w:r>
        <w:rPr>
          <w:rFonts w:cs="Times New Roman"/>
          <w:lang w:val="ru-RU" w:eastAsia="ru-RU"/>
        </w:rPr>
        <w:t>и</w:t>
      </w:r>
      <w:r>
        <w:rPr>
          <w:rFonts w:cs="Times New Roman"/>
          <w:lang w:eastAsia="ru-RU"/>
        </w:rPr>
        <w:t xml:space="preserve"> осуществления сотрудничества с педагогами, сверстниками в решении общих проблем</w:t>
      </w:r>
      <w:r>
        <w:rPr>
          <w:rFonts w:cs="Times New Roman"/>
          <w:lang w:val="ru-RU" w:eastAsia="ru-RU"/>
        </w:rPr>
        <w:t>.</w:t>
      </w:r>
    </w:p>
    <w:p>
      <w:pPr>
        <w:pStyle w:val="Standard"/>
        <w:tabs>
          <w:tab w:val="clear" w:pos="706"/>
          <w:tab w:val="center" w:pos="4677" w:leader="none"/>
        </w:tabs>
        <w:spacing w:lineRule="auto" w:line="276"/>
        <w:ind w:firstLine="709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Настоящая программа составлена в соответствии с учебным планом школы, рассчитана на 1 год обучения. Занятия проводятся в классно-урочной форме, систематически в течение учебного года из расчёта 2 часа в неделю (68 часов в год).</w:t>
      </w:r>
    </w:p>
    <w:p>
      <w:pPr>
        <w:pStyle w:val="Standard"/>
        <w:spacing w:lineRule="auto" w:line="276"/>
        <w:ind w:left="142" w:hanging="142"/>
        <w:jc w:val="center"/>
        <w:rPr>
          <w:rFonts w:eastAsia="Times New Roman" w:cs="Times New Roman"/>
          <w:b/>
          <w:bCs/>
          <w:lang w:val="ru-RU" w:eastAsia="ru-RU"/>
        </w:rPr>
      </w:pPr>
      <w:r>
        <w:rPr>
          <w:rFonts w:cs="Times New Roman"/>
          <w:lang w:val="ru-RU" w:eastAsia="ru-RU"/>
        </w:rPr>
      </w:r>
    </w:p>
    <w:p>
      <w:pPr>
        <w:pStyle w:val="Standard"/>
        <w:spacing w:lineRule="auto" w:line="276"/>
        <w:jc w:val="center"/>
        <w:rPr>
          <w:rFonts w:eastAsia="Calibri" w:cs="Times New Roman"/>
          <w:b/>
          <w:lang w:val="ru-RU"/>
        </w:rPr>
      </w:pPr>
      <w:r>
        <w:rPr>
          <w:rFonts w:eastAsia="Calibri" w:cs="Times New Roman"/>
          <w:b/>
          <w:lang w:val="ru-RU"/>
        </w:rPr>
        <w:t>Количество часов по четвертям</w:t>
      </w:r>
    </w:p>
    <w:p>
      <w:pPr>
        <w:pStyle w:val="Standard"/>
        <w:spacing w:lineRule="auto" w:line="276"/>
        <w:jc w:val="center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</w:r>
    </w:p>
    <w:tbl>
      <w:tblPr>
        <w:tblW w:w="9355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871"/>
        <w:gridCol w:w="1871"/>
        <w:gridCol w:w="1871"/>
        <w:gridCol w:w="1871"/>
        <w:gridCol w:w="1871"/>
      </w:tblGrid>
      <w:tr>
        <w:trPr/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</w:p>
        </w:tc>
        <w:tc>
          <w:tcPr>
            <w:tcW w:w="1871" w:type="dxa"/>
            <w:cnfStyle w:val="000001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01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III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IV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</w:tr>
      <w:tr>
        <w:trPr/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1871" w:type="dxa"/>
            <w:cnfStyle w:val="000001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14</w:t>
            </w:r>
          </w:p>
        </w:tc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cnfStyle w:val="000001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22</w:t>
            </w:r>
          </w:p>
        </w:tc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16</w:t>
            </w:r>
          </w:p>
        </w:tc>
      </w:tr>
    </w:tbl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</w:r>
    </w:p>
    <w:p>
      <w:pPr>
        <w:pStyle w:val="Normal"/>
        <w:widowControl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>Программа по предмету “Сенсорное развитие” для 2 класса включает 9 разделов</w:t>
      </w:r>
      <w:r>
        <w:rPr>
          <w:rFonts w:eastAsia="Calibri" w:cs="Times New Roman"/>
        </w:rPr>
        <w:t>: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Психодиагностическое обследование психомоторных и сенсорных процессов;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Актуализация и развитие навыков мелкой и крупной моторики;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Развитие зрительного восприятия</w:t>
      </w:r>
      <w:r>
        <w:rPr>
          <w:rFonts w:eastAsia="Calibri" w:cs="Times New Roman"/>
        </w:rPr>
        <w:t>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</w:t>
      </w:r>
      <w:r>
        <w:rPr>
          <w:rFonts w:eastAsia="Calibri" w:cs="Times New Roman"/>
        </w:rPr>
        <w:t xml:space="preserve">азвитие </w:t>
      </w:r>
      <w:r>
        <w:rPr>
          <w:rFonts w:eastAsia="Calibri" w:cs="Times New Roman"/>
          <w:lang w:val="ru-RU"/>
        </w:rPr>
        <w:t>слухового</w:t>
      </w:r>
      <w:r>
        <w:rPr>
          <w:rFonts w:eastAsia="Calibri" w:cs="Times New Roman"/>
        </w:rPr>
        <w:t xml:space="preserve"> восприятия;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</w:t>
      </w:r>
      <w:r>
        <w:rPr>
          <w:rFonts w:eastAsia="Calibri" w:cs="Times New Roman"/>
        </w:rPr>
        <w:t>азвитие</w:t>
      </w:r>
      <w:r>
        <w:rPr>
          <w:rFonts w:eastAsia="Calibri" w:cs="Times New Roman"/>
          <w:lang w:val="ru-RU"/>
        </w:rPr>
        <w:t xml:space="preserve"> тактильного восприятия</w:t>
      </w:r>
      <w:r>
        <w:rPr>
          <w:rFonts w:eastAsia="Calibri" w:cs="Times New Roman"/>
        </w:rPr>
        <w:t>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Развитие кинестетического и кинетического восприятия</w:t>
      </w:r>
      <w:r>
        <w:rPr>
          <w:rFonts w:eastAsia="Calibri" w:cs="Times New Roman"/>
        </w:rPr>
        <w:t>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Развитие представлений о пространственных отношениях и навыков ориентации в пространстве;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Развитие представлений о временных отношениях</w:t>
      </w:r>
      <w:r>
        <w:rPr>
          <w:rFonts w:eastAsia="Calibri" w:cs="Times New Roman"/>
        </w:rPr>
        <w:t>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</w:t>
      </w:r>
      <w:r>
        <w:rPr>
          <w:rFonts w:eastAsia="Calibri" w:cs="Times New Roman"/>
        </w:rPr>
        <w:t xml:space="preserve">азвитие </w:t>
      </w:r>
      <w:r>
        <w:rPr>
          <w:rFonts w:eastAsia="Calibri" w:cs="Times New Roman"/>
          <w:lang w:val="ru-RU"/>
        </w:rPr>
        <w:t>вкусового</w:t>
      </w:r>
      <w:r>
        <w:rPr>
          <w:rFonts w:eastAsia="Calibri" w:cs="Times New Roman"/>
        </w:rPr>
        <w:t xml:space="preserve"> восприятия</w:t>
      </w:r>
      <w:r>
        <w:rPr>
          <w:rFonts w:eastAsia="Calibri" w:cs="Times New Roman"/>
          <w:lang w:val="ru-RU"/>
        </w:rPr>
        <w:t xml:space="preserve"> и обоняния.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b/>
          <w:i/>
          <w:i/>
          <w:lang w:val="ru-RU"/>
        </w:rPr>
      </w:pPr>
      <w:r>
        <w:rPr>
          <w:rFonts w:eastAsia="Calibri" w:cs="Times New Roman"/>
          <w:b/>
          <w:i/>
          <w:lang w:val="ru-RU"/>
        </w:rPr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  <w:lang w:val="ru-RU"/>
        </w:rPr>
        <w:t xml:space="preserve">Раздел “Психодиагностическое обследование психомоторных и сенсорных процессов” </w:t>
      </w:r>
      <w:r>
        <w:rPr>
          <w:rFonts w:eastAsia="Calibri" w:cs="Times New Roman"/>
          <w:lang w:val="ru-RU"/>
        </w:rPr>
        <w:t xml:space="preserve">направлен на оценку уровня психического развития учащихся актуального на момент начала учебного года. В качестве задач, решаемых в рамках данного раздела, выделяются: оценка владения сенсорными эталонами, оценка способности к цветоразличению и различению геометрических форм, оценка восприятия величины и пространственно-временных отношений, оценка слухового восприятия и координационных способностей. 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</w:rPr>
        <w:t>Раздел</w:t>
      </w:r>
      <w:r>
        <w:rPr>
          <w:rFonts w:eastAsia="Calibri" w:cs="Times New Roman"/>
        </w:rPr>
        <w:t xml:space="preserve"> “</w:t>
      </w:r>
      <w:r>
        <w:rPr>
          <w:rFonts w:eastAsia="Calibri" w:cs="Times New Roman"/>
          <w:b/>
          <w:i/>
          <w:lang w:val="ru-RU"/>
        </w:rPr>
        <w:t>А</w:t>
      </w:r>
      <w:r>
        <w:rPr>
          <w:rFonts w:eastAsia="Calibri" w:cs="Times New Roman"/>
          <w:b/>
          <w:i/>
        </w:rPr>
        <w:t xml:space="preserve">ктуализация и развитие навыков мелкой </w:t>
      </w:r>
      <w:r>
        <w:rPr>
          <w:rFonts w:eastAsia="Calibri" w:cs="Times New Roman"/>
          <w:b/>
          <w:i/>
          <w:lang w:val="ru-RU"/>
        </w:rPr>
        <w:t xml:space="preserve">и крупной </w:t>
      </w:r>
      <w:r>
        <w:rPr>
          <w:rFonts w:eastAsia="Calibri" w:cs="Times New Roman"/>
          <w:b/>
          <w:i/>
        </w:rPr>
        <w:t>моторики”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lang w:val="ru-RU"/>
        </w:rPr>
        <w:t>посвящен решению таких задач, как развитие общих двигательных навыков, точных и целенаправленных движений рук, совершенствование координации движений верхних и нижних конечностей, развитие графомоторных навыков. Решение задач данного раздела составляет основу для дальнейшего развития кинестетического, кинетического и пространственного восприятия.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 xml:space="preserve">В рамках </w:t>
      </w:r>
      <w:r>
        <w:rPr>
          <w:rFonts w:eastAsia="Calibri" w:cs="Times New Roman"/>
          <w:b/>
          <w:i/>
          <w:lang w:val="ru-RU"/>
        </w:rPr>
        <w:t>раздела “Развитие зрительного восприятия”</w:t>
      </w:r>
      <w:r>
        <w:rPr>
          <w:rFonts w:eastAsia="Calibri" w:cs="Times New Roman"/>
          <w:lang w:val="ru-RU"/>
        </w:rPr>
        <w:t xml:space="preserve"> решаются такие задачи, как  </w:t>
      </w:r>
      <w:r>
        <w:rPr>
          <w:rFonts w:eastAsia="Calibri" w:cs="Times New Roman"/>
        </w:rPr>
        <w:t>пополнение и уточнение</w:t>
      </w:r>
      <w:r>
        <w:rPr>
          <w:rFonts w:eastAsia="Calibri" w:cs="Times New Roman"/>
          <w:b/>
          <w:i/>
        </w:rPr>
        <w:t xml:space="preserve"> </w:t>
      </w:r>
      <w:r>
        <w:rPr>
          <w:rFonts w:eastAsia="Calibri" w:cs="Times New Roman"/>
        </w:rPr>
        <w:t>знаний о сенсорных эталонах</w:t>
      </w:r>
      <w:r>
        <w:rPr>
          <w:rFonts w:eastAsia="Calibri" w:cs="Times New Roman"/>
          <w:lang w:val="ru-RU"/>
        </w:rPr>
        <w:t>, совершенствование навыков цветоразличения, различения геометрических форм, дифференциации и группировки объектов по различным зрительным признакам (величине, форме, цвету).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  <w:lang w:val="ru-RU"/>
        </w:rPr>
        <w:t>Раздел “Развитие слухового восприятия”</w:t>
      </w:r>
      <w:r>
        <w:rPr>
          <w:rFonts w:eastAsia="Calibri" w:cs="Times New Roman"/>
          <w:lang w:val="ru-RU"/>
        </w:rPr>
        <w:t xml:space="preserve"> направлен на совершенствование восприятия речевых, неречевых и музыкальных звуков, которое составляет основу восприятия речи. Целью освоения данного раздела является формирование способности дифференцировать звуки различной модальности, а также понимать обращенную речь и различать характеристики голоса, относящиеся к невербальным средствам общения: интонацию, высоту, тембр, громкость.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 xml:space="preserve">Целью изучения </w:t>
      </w:r>
      <w:r>
        <w:rPr>
          <w:rFonts w:eastAsia="Calibri" w:cs="Times New Roman"/>
          <w:b/>
          <w:i/>
          <w:lang w:val="ru-RU"/>
        </w:rPr>
        <w:t>раздела “Развитие тактильного восприятия”</w:t>
      </w:r>
      <w:r>
        <w:rPr>
          <w:rFonts w:eastAsia="Calibri" w:cs="Times New Roman"/>
          <w:lang w:val="ru-RU"/>
        </w:rPr>
        <w:t xml:space="preserve"> является формирование у учащихся представлений о тактильных свойствах объектов окружающей действительности. В рамках данного раздела решаются задачи по снятию психоэмоционального напряжения, формирования стабильного эмоционального фона и развития у учащихся произвольного внимания и навыков саморегуляции.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  <w:lang w:val="ru-RU"/>
        </w:rPr>
        <w:t>Раздел “Развитие кинестетического и кинетического восприятия”</w:t>
      </w:r>
      <w:r>
        <w:rPr>
          <w:rFonts w:eastAsia="Calibri" w:cs="Times New Roman"/>
          <w:lang w:val="ru-RU"/>
        </w:rPr>
        <w:t xml:space="preserve"> предполагает формирование у учащихся представлений о схеме собственного тела, а также развитие способности регулировать положение тела в пространстве. Также важной задачей данного раздела является знакомство учащихся с элементарными способами снятия мышечного напряжения.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>Освоение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b/>
          <w:i/>
        </w:rPr>
        <w:t>раздел</w:t>
      </w:r>
      <w:r>
        <w:rPr>
          <w:rFonts w:eastAsia="Calibri" w:cs="Times New Roman"/>
          <w:b/>
          <w:i/>
          <w:lang w:val="ru-RU"/>
        </w:rPr>
        <w:t>а</w:t>
      </w:r>
      <w:r>
        <w:rPr>
          <w:rFonts w:eastAsia="Calibri" w:cs="Times New Roman"/>
          <w:b/>
          <w:i/>
        </w:rPr>
        <w:t xml:space="preserve"> “</w:t>
      </w:r>
      <w:r>
        <w:rPr>
          <w:rFonts w:eastAsia="Calibri" w:cs="Times New Roman"/>
          <w:b/>
          <w:i/>
          <w:lang w:val="ru-RU"/>
        </w:rPr>
        <w:t>Развитие представлений о пространственных отношениях и навыков ориентации в пространстве”</w:t>
      </w:r>
      <w:r>
        <w:rPr>
          <w:rFonts w:eastAsia="Calibri" w:cs="Times New Roman"/>
        </w:rPr>
        <w:t xml:space="preserve"> имеет принципиальное значение для организации учебного процесса</w:t>
      </w:r>
      <w:r>
        <w:rPr>
          <w:rFonts w:eastAsia="Calibri" w:cs="Times New Roman"/>
          <w:lang w:val="ru-RU"/>
        </w:rPr>
        <w:t xml:space="preserve"> и формирования дисциплины</w:t>
      </w:r>
      <w:r>
        <w:rPr>
          <w:rFonts w:eastAsia="Calibri" w:cs="Times New Roman"/>
        </w:rPr>
        <w:t xml:space="preserve">. </w:t>
      </w:r>
      <w:r>
        <w:rPr>
          <w:rFonts w:eastAsia="Calibri" w:cs="Times New Roman"/>
          <w:lang w:val="ru-RU"/>
        </w:rPr>
        <w:t>Данный радел посвящен актуализации и развитию представлений учащихся о понятиях, означающих расположение объектов окружающей действительности относительно друг друга и самого себя, а также формированию навыка ориентации на листе бумаги, в пространстве и развитию пространственной памяти.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</w:rPr>
        <w:t>Раздел “</w:t>
      </w:r>
      <w:r>
        <w:rPr>
          <w:rFonts w:eastAsia="Calibri" w:cs="Times New Roman"/>
          <w:b/>
          <w:i/>
          <w:lang w:val="ru-RU"/>
        </w:rPr>
        <w:t>Развитие представлений о временных отношениях”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lang w:val="ru-RU"/>
        </w:rPr>
        <w:t>направлен на</w:t>
      </w:r>
      <w:r>
        <w:rPr>
          <w:rFonts w:eastAsia="Calibri" w:cs="Times New Roman"/>
        </w:rPr>
        <w:t xml:space="preserve"> формирование у </w:t>
      </w:r>
      <w:r>
        <w:rPr>
          <w:rFonts w:eastAsia="Calibri" w:cs="Times New Roman"/>
          <w:lang w:val="ru-RU"/>
        </w:rPr>
        <w:t>учащихся</w:t>
      </w:r>
      <w:r>
        <w:rPr>
          <w:rFonts w:eastAsia="Calibri" w:cs="Times New Roman"/>
        </w:rPr>
        <w:t xml:space="preserve"> представлений</w:t>
      </w:r>
      <w:r>
        <w:rPr>
          <w:rFonts w:eastAsia="Calibri" w:cs="Times New Roman"/>
          <w:lang w:val="ru-RU"/>
        </w:rPr>
        <w:t xml:space="preserve"> о единицах измерения времени:</w:t>
      </w:r>
      <w:r>
        <w:rPr>
          <w:rFonts w:eastAsia="Calibri" w:cs="Times New Roman"/>
        </w:rPr>
        <w:t xml:space="preserve"> секунда, минута, час, сутки, дни недели, времена года. </w:t>
      </w:r>
      <w:r>
        <w:rPr>
          <w:rFonts w:eastAsia="Calibri" w:cs="Times New Roman"/>
          <w:lang w:val="ru-RU"/>
        </w:rPr>
        <w:t>Также важной задачей данного раздела является формирование представлений о категориях времени “вчера”, “сегодня”, “завтра”, развитие навыков определения времени по электронным часам. Освоение данного раздела отражается на развитии дисциплины и навыков саморегуляции.</w:t>
      </w:r>
    </w:p>
    <w:p>
      <w:pPr>
        <w:pStyle w:val="Standard"/>
        <w:spacing w:lineRule="auto" w:line="276"/>
        <w:ind w:firstLine="708"/>
        <w:jc w:val="both"/>
        <w:rPr>
          <w:lang w:val="ru-RU"/>
        </w:rPr>
      </w:pPr>
      <w:r>
        <w:rPr>
          <w:lang w:val="ru-RU"/>
        </w:rPr>
        <w:t xml:space="preserve">Решение задач </w:t>
      </w:r>
      <w:r>
        <w:rPr>
          <w:b/>
          <w:i/>
          <w:lang w:val="ru-RU"/>
        </w:rPr>
        <w:t>раздела “Р</w:t>
      </w:r>
      <w:r>
        <w:rPr>
          <w:b/>
          <w:i/>
        </w:rPr>
        <w:t xml:space="preserve">азвитие </w:t>
      </w:r>
      <w:r>
        <w:rPr>
          <w:b/>
          <w:i/>
          <w:lang w:val="ru-RU"/>
        </w:rPr>
        <w:t>вкусового</w:t>
      </w:r>
      <w:r>
        <w:rPr>
          <w:b/>
          <w:i/>
        </w:rPr>
        <w:t xml:space="preserve"> восприятия</w:t>
      </w:r>
      <w:r>
        <w:rPr>
          <w:b/>
          <w:i/>
          <w:lang w:val="ru-RU"/>
        </w:rPr>
        <w:t xml:space="preserve"> и обоняния”</w:t>
      </w:r>
      <w:r>
        <w:rPr>
          <w:lang w:val="ru-RU"/>
        </w:rPr>
        <w:t xml:space="preserve"> способствует познанию окружающего мира во всем многообразии его свойств -  вкусов и запахов. Данный раздел направлен на формирование у учащихся способности дифференцировать предметы по обонятельным и вкусовым характеристикам.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b/>
          <w:bCs/>
          <w:lang w:eastAsia="ru-RU"/>
        </w:rPr>
        <w:t>Структура занятий</w:t>
      </w:r>
      <w:r>
        <w:rPr>
          <w:rFonts w:eastAsia="Times New Roman" w:cs="Times New Roman"/>
          <w:lang w:eastAsia="ru-RU"/>
        </w:rPr>
        <w:t xml:space="preserve"> предусматривает сочетание разных видов деятельности: </w:t>
      </w:r>
      <w:r>
        <w:rPr>
          <w:rFonts w:eastAsia="Times New Roman" w:cs="Times New Roman"/>
          <w:lang w:val="ru-RU" w:eastAsia="ru-RU"/>
        </w:rPr>
        <w:t xml:space="preserve">коммуникативной, </w:t>
      </w:r>
      <w:r>
        <w:rPr>
          <w:rFonts w:eastAsia="Times New Roman" w:cs="Times New Roman"/>
          <w:lang w:eastAsia="ru-RU"/>
        </w:rPr>
        <w:t>музыкально-ритмической, изобразительной, конструктивной, игровой и др., в процессе которых и решаются задачи сенсорного развития детей. Коррекционная работа требует специально созданной предметно-пространственной развивающей среды, к которой относятся сенсорно-стимулирующее пространство, сенсорные уголки, дидактические игры и пособия.</w:t>
      </w:r>
    </w:p>
    <w:p>
      <w:pPr>
        <w:pStyle w:val="Standard"/>
        <w:spacing w:lineRule="auto" w:line="276"/>
        <w:ind w:firstLine="708"/>
        <w:jc w:val="both"/>
        <w:rPr>
          <w:lang w:val="ru-RU"/>
        </w:rPr>
      </w:pPr>
      <w:r>
        <w:rPr>
          <w:lang w:val="ru-RU"/>
        </w:rPr>
      </w:r>
    </w:p>
    <w:p>
      <w:pPr>
        <w:pStyle w:val="Standard"/>
        <w:spacing w:lineRule="auto" w:line="276"/>
        <w:ind w:firstLine="708"/>
        <w:jc w:val="center"/>
        <w:rPr>
          <w:rFonts w:eastAsia="Times New Roman" w:cs="Times New Roman"/>
          <w:b/>
          <w:bCs/>
          <w:iCs/>
          <w:lang w:val="ru-RU" w:eastAsia="ru-RU"/>
        </w:rPr>
      </w:pPr>
      <w:r>
        <w:rPr>
          <w:rFonts w:eastAsia="Times New Roman" w:cs="Times New Roman"/>
          <w:b/>
          <w:bCs/>
          <w:iCs/>
          <w:lang w:val="ru-RU" w:eastAsia="ru-RU"/>
        </w:rPr>
        <w:t>Планируемый результаты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i/>
          <w:i/>
        </w:rPr>
      </w:pPr>
      <w:r>
        <w:rPr>
          <w:rFonts w:cs="Times New Roman"/>
          <w:b/>
          <w:bCs/>
          <w:i/>
          <w:iCs/>
        </w:rPr>
        <w:t>Личностные:</w:t>
      </w:r>
    </w:p>
    <w:p>
      <w:pPr>
        <w:pStyle w:val="Normal"/>
        <w:spacing w:lineRule="auto" w:line="276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положительное отношение к школе и мотивацию к познавательной и учебной деятельности;</w:t>
      </w:r>
    </w:p>
    <w:p>
      <w:pPr>
        <w:pStyle w:val="Normal"/>
        <w:spacing w:lineRule="auto" w:line="276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интерес к практической деятельности;</w:t>
      </w:r>
    </w:p>
    <w:p>
      <w:pPr>
        <w:pStyle w:val="Normal"/>
        <w:spacing w:lineRule="auto" w:line="276"/>
        <w:ind w:firstLine="709"/>
        <w:jc w:val="both"/>
        <w:rPr>
          <w:rFonts w:cs="Times New Roman"/>
        </w:rPr>
      </w:pPr>
      <w:r>
        <w:rPr>
          <w:rFonts w:cs="Times New Roman"/>
          <w:lang w:val="ru-RU"/>
        </w:rPr>
        <w:t xml:space="preserve">- </w:t>
      </w:r>
      <w:r>
        <w:rPr>
          <w:rFonts w:cs="Times New Roman"/>
        </w:rPr>
        <w:t>владеют общепринятыми правилами поведения;</w:t>
      </w:r>
    </w:p>
    <w:p>
      <w:pPr>
        <w:pStyle w:val="Normal"/>
        <w:spacing w:lineRule="auto" w:line="276"/>
        <w:ind w:firstLine="709"/>
        <w:jc w:val="left"/>
        <w:rPr>
          <w:rFonts w:cs="Times New Roman"/>
          <w:lang w:val="ru-RU"/>
        </w:rPr>
      </w:pPr>
      <w:r>
        <w:rPr>
          <w:rFonts w:cs="Times New Roman"/>
          <w:lang w:val="ru-RU"/>
        </w:rPr>
        <w:t>- проявляют дружелюбие по отношению к сверстникам и взрослым;</w:t>
      </w:r>
    </w:p>
    <w:p>
      <w:pPr>
        <w:pStyle w:val="Normal"/>
        <w:spacing w:lineRule="auto" w:line="276"/>
        <w:ind w:firstLine="709"/>
        <w:jc w:val="left"/>
        <w:rPr>
          <w:rFonts w:cs="Times New Roman"/>
        </w:rPr>
      </w:pPr>
      <w:r>
        <w:rPr>
          <w:rFonts w:cs="Times New Roman"/>
          <w:lang w:val="ru-RU"/>
        </w:rPr>
        <w:t>- владеют основными социально одобряемыми качествами: дисциплина, аккуратность;</w:t>
      </w:r>
    </w:p>
    <w:p>
      <w:pPr>
        <w:pStyle w:val="Normal"/>
        <w:spacing w:lineRule="auto" w:line="276"/>
        <w:ind w:firstLine="709"/>
        <w:jc w:val="both"/>
        <w:rPr>
          <w:rFonts w:cs="Times New Roman"/>
        </w:rPr>
      </w:pPr>
      <w:r>
        <w:rPr>
          <w:rFonts w:cs="Times New Roman"/>
        </w:rPr>
        <w:t>- умеют сообщать о нездоровье, опасности и т.д.;</w:t>
      </w:r>
    </w:p>
    <w:p>
      <w:pPr>
        <w:pStyle w:val="Normal"/>
        <w:spacing w:lineRule="auto" w:line="276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>
        <w:rPr>
          <w:rFonts w:cs="Times New Roman"/>
          <w:lang w:val="ru-RU"/>
        </w:rPr>
        <w:t>умеют просить о помощи и принимать ее.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lang w:eastAsia="ru-RU"/>
        </w:rPr>
      </w:pPr>
      <w:r>
        <w:rPr>
          <w:rFonts w:eastAsia="Times New Roman" w:cs="Times New Roman"/>
          <w:b/>
          <w:bCs/>
          <w:iCs/>
          <w:lang w:eastAsia="ru-RU"/>
        </w:rPr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/>
          <w:i/>
          <w:iCs/>
          <w:lang w:val="ru-RU" w:eastAsia="ru-RU"/>
        </w:rPr>
      </w:pPr>
      <w:r>
        <w:rPr>
          <w:rFonts w:eastAsia="Times New Roman" w:cs="Times New Roman"/>
          <w:b/>
          <w:bCs/>
          <w:i/>
          <w:iCs/>
          <w:lang w:val="ru-RU" w:eastAsia="ru-RU"/>
        </w:rPr>
        <w:t>Предметные: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Минимальный уровень: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понимают и выполняют простую инструкцию педагога в полном объеме;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дифференцирую и называют предметы, изображенные на зашумленных изображениях;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и зрительно соотносят базовые и некоторые смешанные цвета;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и зрительно соотносят плоские геометрические фигуры (круг, треугольник, квадрат, прямоугольник);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дифференцируют звуки по модальности громко/тихо;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дифференцируют и группируют предметы по тактильным признакам (мягкий/твердый, горячий/холодный, гладкий/колючий);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противоположные качества и свойства предметов (большой/маленький);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различают, называют или показывают направления (лево, право, верх, низ, спереди, сзади);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в собственном теле: определяют основные части тела, ведущую руку;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на листе бумаги (середина, верх, низ);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свободно ориентируются в знакомом пространстве;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и называют времена года;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различают вкусовые качества продуктов (кислый/сладкий/соленый/горький);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объекты по запаху;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эмоциональные состояния людей по картинкам и художественным изображениям.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Достаточный уровень: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</w:t>
      </w:r>
      <w:r>
        <w:rPr/>
        <w:t xml:space="preserve"> </w:t>
      </w:r>
      <w:r>
        <w:rPr>
          <w:rFonts w:eastAsia="Times New Roman" w:cs="Times New Roman"/>
          <w:bCs/>
          <w:iCs/>
          <w:lang w:val="ru-RU" w:eastAsia="ru-RU"/>
        </w:rPr>
        <w:t>выполняют точные движения при вырезании, штриховке, рисовании или письме ведущей рукой;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и зрительно соотносят смешанные цвета и простые оттенки (темный/светлый);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и зрительно соотносят объемные геометрические фигуры (шар, куб, пирамида);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противоположные качества и свойства предметов (высокий/низкий, длинный/короткий, толстый/тонкий, легкий/тяжелый);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и определяют голоса знакомых людей, звуки живой и неживой природы;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дифференцируют и группируют предметы по тактильным признакам (стеклянный/металлический/бумажный/деревянный);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на листе бумаги (определяют право и лево);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lang w:val="ru-RU"/>
        </w:rPr>
        <w:t>- показывают основные мимические позы (радость, грусть, злость);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месяцы, дни недели, восстанавливают последовательность в правильном порядке;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iCs/>
        </w:rPr>
        <w:t>- дифференцируют и группируют предметы по тактильным признакам (влажный/сухой).</w:t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  <w:t>Учебно-методическая литература:</w:t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</w:r>
    </w:p>
    <w:p>
      <w:pPr>
        <w:pStyle w:val="Standard"/>
        <w:widowControl w:val="false"/>
        <w:numPr>
          <w:ilvl w:val="0"/>
          <w:numId w:val="2"/>
        </w:numPr>
        <w:shd w:val="clear" w:color="auto" w:fill="FFFFFF"/>
        <w:spacing w:lineRule="auto" w:line="276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val="ru-RU" w:eastAsia="ru-RU"/>
        </w:rPr>
        <w:t xml:space="preserve">Агавелян О.К. Социально-перцептивные особенности детей с нарушениями развития: монографическое исследование., Челябинск: Издатель Татьяна Лурье, 1999. 356 с. 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Айрес Э.Дж.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</w:rPr>
        <w:t>Ребенок и сенсорная интеграция. Понимание скрытых проблем развития</w:t>
      </w:r>
      <w:r>
        <w:rPr>
          <w:rFonts w:cs="Times New Roman"/>
          <w:lang w:val="ru-RU"/>
        </w:rPr>
        <w:t xml:space="preserve">. </w:t>
      </w:r>
      <w:r>
        <w:rPr>
          <w:rFonts w:cs="Times New Roman"/>
        </w:rPr>
        <w:t>М.: Теревинф, 2009. 272 с.</w:t>
      </w:r>
    </w:p>
    <w:p>
      <w:pPr>
        <w:pStyle w:val="Standard"/>
        <w:numPr>
          <w:ilvl w:val="0"/>
          <w:numId w:val="2"/>
        </w:numPr>
        <w:shd w:val="clear" w:color="auto" w:fill="FFFFFF"/>
        <w:spacing w:lineRule="auto" w:line="276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Ананьев Б.Г., Рыбалко Е.Ф. Особенности восприятия пространства у детей. – Б.Г. Ананьев., М.</w:t>
      </w:r>
      <w:r>
        <w:rPr>
          <w:rFonts w:eastAsia="Times New Roman" w:cs="Times New Roman"/>
          <w:color w:val="000000"/>
          <w:szCs w:val="28"/>
          <w:lang w:val="ru-RU" w:eastAsia="ru-RU"/>
        </w:rPr>
        <w:t>: Просвещение,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1984.</w:t>
      </w:r>
      <w:r>
        <w:rPr>
          <w:rFonts w:eastAsia="Times New Roman" w:cs="Times New Roman"/>
          <w:color w:val="000000"/>
          <w:szCs w:val="28"/>
          <w:lang w:val="ru-RU" w:eastAsia="ru-RU"/>
        </w:rPr>
        <w:t xml:space="preserve"> 304 с.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color w:val="04070C"/>
          <w:szCs w:val="28"/>
          <w:lang w:val="ru-RU" w:eastAsia="ru-RU"/>
        </w:rPr>
        <w:t>Грищенко Т.А. Сенсорное развитие детей на занятиях в специальных (коррекционных) учреждениях. М.: Владос, 2017. 96 с.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lang w:val="ru-RU" w:eastAsia="ru-RU"/>
        </w:rPr>
        <w:t>Колосова Т.А., Исаев Д.Н.  Психология детей с нарушением интеллекта: учеб. пособие для вузов. М.: Юрайт, 2022. 151 с.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color w:val="04070C"/>
          <w:szCs w:val="28"/>
          <w:lang w:eastAsia="ru-RU"/>
        </w:rPr>
        <w:t>Кузнецова Л.В., Переслени Л.И., Солнцева Л.И. Основы специальной психологии: учеб. пособие для студ. М.: Академия, 2002. 480 с.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Метиева Л.А., Удалова Э.Я. Развитие сенсорной сферы детей</w:t>
      </w:r>
      <w:r>
        <w:rPr>
          <w:rFonts w:cs="Times New Roman"/>
          <w:lang w:val="ru-RU"/>
        </w:rPr>
        <w:t>: п</w:t>
      </w:r>
      <w:r>
        <w:rPr>
          <w:rFonts w:cs="Times New Roman"/>
        </w:rPr>
        <w:t>осо</w:t>
      </w:r>
      <w:r>
        <w:rPr>
          <w:rFonts w:cs="Times New Roman"/>
          <w:lang w:val="ru-RU"/>
        </w:rPr>
        <w:t>б.</w:t>
      </w:r>
      <w:r>
        <w:rPr>
          <w:rFonts w:cs="Times New Roman"/>
        </w:rPr>
        <w:t xml:space="preserve"> для учителей спец. </w:t>
      </w:r>
      <w:r>
        <w:rPr>
          <w:rFonts w:cs="Times New Roman"/>
          <w:lang w:val="ru-RU"/>
        </w:rPr>
        <w:t>у</w:t>
      </w:r>
      <w:r>
        <w:rPr>
          <w:rFonts w:cs="Times New Roman"/>
        </w:rPr>
        <w:t>чрежд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VIII вида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М.: Просвещение, 2009</w:t>
      </w:r>
      <w:r>
        <w:rPr>
          <w:rFonts w:cs="Times New Roman"/>
          <w:lang w:val="ru-RU"/>
        </w:rPr>
        <w:t xml:space="preserve">. </w:t>
      </w:r>
      <w:r>
        <w:rPr>
          <w:rFonts w:cs="Times New Roman"/>
        </w:rPr>
        <w:t xml:space="preserve">160 с.              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  <w:lang w:val="ru-RU"/>
        </w:rPr>
        <w:t xml:space="preserve">Метиева Л.А., Удалова Э.Я. Сенсорное воспитание детей с отклонениями в развитии: Сборник игр и игровых упражнений. М.: Книголюб, 2007. 120 с. 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Мищенкова П.В.</w:t>
      </w:r>
      <w:r>
        <w:rPr>
          <w:rFonts w:cs="Times New Roman"/>
          <w:lang w:val="ru-RU"/>
        </w:rPr>
        <w:t>, Селиванов А.А.</w:t>
      </w:r>
      <w:r>
        <w:rPr>
          <w:rFonts w:cs="Times New Roman"/>
        </w:rPr>
        <w:t xml:space="preserve"> Логика, речь ,моторика, творческие способности. Игровые обучающие занятия с детьми 8</w:t>
      </w:r>
      <w:r>
        <w:rPr>
          <w:rFonts w:cs="Times New Roman"/>
          <w:lang w:val="ru-RU"/>
        </w:rPr>
        <w:t>-</w:t>
      </w:r>
      <w:r>
        <w:rPr>
          <w:rFonts w:cs="Times New Roman"/>
        </w:rPr>
        <w:t>10 лет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Ярославль</w:t>
      </w:r>
      <w:r>
        <w:rPr>
          <w:rFonts w:cs="Times New Roman"/>
          <w:lang w:val="ru-RU"/>
        </w:rPr>
        <w:t xml:space="preserve">: </w:t>
      </w:r>
      <w:r>
        <w:rPr>
          <w:rFonts w:cs="Times New Roman"/>
        </w:rPr>
        <w:t>Академия развития, 2009. 160с.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Узорова О. В.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</w:rPr>
        <w:t>Пальчиковая гимнастика. М.: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</w:rPr>
        <w:t>АСТ, 2007. 127с.</w:t>
      </w:r>
    </w:p>
    <w:p>
      <w:pPr>
        <w:pStyle w:val="Standard"/>
        <w:widowControl w:val="false"/>
        <w:numPr>
          <w:ilvl w:val="0"/>
          <w:numId w:val="2"/>
        </w:numPr>
        <w:shd w:val="clear" w:color="auto" w:fill="FFFFFF"/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Calibri" w:cs="Times New Roman"/>
          <w:szCs w:val="22"/>
          <w:lang w:val="ru-RU" w:eastAsia="en-US" w:bidi="ar-SA"/>
        </w:rPr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на </w:t>
      </w:r>
      <w:r>
        <w:rPr>
          <w:rFonts w:eastAsia="Times New Roman" w:cs="Times New Roman"/>
          <w:color w:val="000000"/>
          <w:szCs w:val="28"/>
          <w:lang w:eastAsia="ru-RU"/>
        </w:rPr>
        <w:t>20</w:t>
      </w:r>
      <w:r>
        <w:rPr>
          <w:rFonts w:eastAsia="Times New Roman" w:cs="Times New Roman"/>
          <w:color w:val="000000"/>
          <w:szCs w:val="28"/>
          <w:lang w:val="ru-RU" w:eastAsia="ru-RU"/>
        </w:rPr>
        <w:t>26</w:t>
      </w:r>
      <w:r>
        <w:rPr>
          <w:rFonts w:eastAsia="Times New Roman" w:cs="Times New Roman"/>
          <w:color w:val="000000"/>
          <w:szCs w:val="28"/>
          <w:lang w:eastAsia="ru-RU"/>
        </w:rPr>
        <w:t>-2027 учебный год</w:t>
      </w:r>
      <w:r>
        <w:rPr>
          <w:rFonts w:eastAsia="Times New Roman" w:cs="Times New Roman"/>
          <w:color w:val="000000"/>
          <w:szCs w:val="28"/>
          <w:lang w:val="ru-RU" w:eastAsia="ru-RU"/>
        </w:rPr>
        <w:t>.</w:t>
      </w:r>
    </w:p>
    <w:p>
      <w:pPr>
        <w:pStyle w:val="NoSpacing"/>
        <w:spacing w:lineRule="auto" w:line="276"/>
        <w:ind w:left="0" w:right="0" w:hanging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Spacing"/>
        <w:numPr>
          <w:ilvl w:val="0"/>
          <w:numId w:val="0"/>
        </w:numPr>
        <w:spacing w:lineRule="auto" w:line="276"/>
        <w:ind w:left="0" w:hanging="0"/>
        <w:jc w:val="both"/>
        <w:rPr>
          <w:rFonts w:cs="Times New Roman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Courier New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Calibri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de-DE" w:eastAsia="ja-JP" w:bidi="fa-IR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99"/>
    <w:qFormat/>
    <w:pPr>
      <w:widowControl w:val="false"/>
      <w:suppressAutoHyphens w:val="fals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1">
    <w:name w:val="Heading 1"/>
    <w:link w:val="Heading1Char"/>
    <w:uiPriority w:val="9"/>
    <w:qFormat/>
    <w:pPr>
      <w:keepNext w:val="true"/>
      <w:keepLines/>
      <w:widowControl w:val="false"/>
      <w:suppressAutoHyphens w:val="true"/>
      <w:bidi w:val="0"/>
      <w:spacing w:before="48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376091" w:themeColor="accent1" w:themeShade="bf"/>
      <w:kern w:val="0"/>
      <w:sz w:val="28"/>
      <w:szCs w:val="28"/>
      <w:lang w:val="de-DE" w:eastAsia="ja-JP" w:bidi="fa-IR"/>
    </w:rPr>
  </w:style>
  <w:style w:type="paragraph" w:styleId="2">
    <w:name w:val="Heading 2"/>
    <w:link w:val="Heading2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kern w:val="0"/>
      <w:sz w:val="26"/>
      <w:szCs w:val="26"/>
      <w:lang w:val="de-DE" w:eastAsia="ja-JP" w:bidi="fa-IR"/>
    </w:rPr>
  </w:style>
  <w:style w:type="paragraph" w:styleId="3">
    <w:name w:val="Heading 3"/>
    <w:link w:val="Heading3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kern w:val="0"/>
      <w:sz w:val="24"/>
      <w:szCs w:val="24"/>
      <w:lang w:val="de-DE" w:eastAsia="ja-JP" w:bidi="fa-IR"/>
    </w:rPr>
  </w:style>
  <w:style w:type="paragraph" w:styleId="4">
    <w:name w:val="Heading 4"/>
    <w:link w:val="Heading4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kern w:val="0"/>
      <w:sz w:val="24"/>
      <w:szCs w:val="24"/>
      <w:lang w:val="de-DE" w:eastAsia="ja-JP" w:bidi="fa-IR"/>
    </w:rPr>
  </w:style>
  <w:style w:type="paragraph" w:styleId="5">
    <w:name w:val="Heading 5"/>
    <w:link w:val="Heading5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  <w:kern w:val="0"/>
      <w:sz w:val="24"/>
      <w:szCs w:val="24"/>
      <w:lang w:val="de-DE" w:eastAsia="ja-JP" w:bidi="fa-IR"/>
    </w:rPr>
  </w:style>
  <w:style w:type="paragraph" w:styleId="6">
    <w:name w:val="Heading 6"/>
    <w:link w:val="Heading6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  <w:kern w:val="0"/>
      <w:sz w:val="24"/>
      <w:szCs w:val="24"/>
      <w:lang w:val="de-DE" w:eastAsia="ja-JP" w:bidi="fa-IR"/>
    </w:rPr>
  </w:style>
  <w:style w:type="paragraph" w:styleId="7">
    <w:name w:val="Heading 7"/>
    <w:link w:val="Heading7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0"/>
      <w:sz w:val="24"/>
      <w:szCs w:val="24"/>
      <w:lang w:val="de-DE" w:eastAsia="ja-JP" w:bidi="fa-IR"/>
    </w:rPr>
  </w:style>
  <w:style w:type="paragraph" w:styleId="8">
    <w:name w:val="Heading 8"/>
    <w:link w:val="Heading8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color w:val="404040" w:themeColor="text1" w:themeTint="bf"/>
      <w:kern w:val="0"/>
      <w:sz w:val="20"/>
      <w:szCs w:val="20"/>
      <w:lang w:val="de-DE" w:eastAsia="ja-JP" w:bidi="fa-IR"/>
    </w:rPr>
  </w:style>
  <w:style w:type="paragraph" w:styleId="9">
    <w:name w:val="Heading 9"/>
    <w:link w:val="Heading9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0"/>
      <w:sz w:val="20"/>
      <w:szCs w:val="20"/>
      <w:lang w:val="de-DE" w:eastAsia="ja-JP" w:bidi="fa-IR"/>
    </w:rPr>
  </w:style>
  <w:style w:type="character" w:styleId="Style5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Heading1Char" w:customStyle="1">
    <w:name w:val="Heading 1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styleId="Heading2Char" w:customStyle="1">
    <w:name w:val="Heading 2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4Char" w:customStyle="1">
    <w:name w:val="Heading 4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uiPriority w:val="9"/>
    <w:qFormat/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uiPriority w:val="9"/>
    <w:qFormat/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styleId="Heading9Char" w:customStyle="1">
    <w:name w:val="Heading 9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TitleChar" w:customStyle="1">
    <w:name w:val="Title Char"/>
    <w:uiPriority w:val="10"/>
    <w:qFormat/>
    <w:rPr>
      <w:rFonts w:ascii="Cambria" w:hAnsi="Cambria" w:eastAsia="" w:cs=""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styleId="SubtitleChar" w:customStyle="1">
    <w:name w:val="Subtitle Char"/>
    <w:uiPriority w:val="11"/>
    <w:qFormat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/>
    <w:rPr>
      <w:i/>
      <w:iCs/>
      <w:color w:val="808080" w:themeColor="text1" w:themeTint="7f"/>
    </w:rPr>
  </w:style>
  <w:style w:type="character" w:styleId="Style6">
    <w:name w:val="Emphasis"/>
    <w:uiPriority w:val="20"/>
    <w:qFormat/>
    <w:rPr>
      <w:i/>
      <w:iCs/>
    </w:rPr>
  </w:style>
  <w:style w:type="character" w:styleId="IntenseEmphasis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uiPriority w:val="22"/>
    <w:qFormat/>
    <w:rPr>
      <w:b/>
      <w:bCs/>
    </w:rPr>
  </w:style>
  <w:style w:type="character" w:styleId="QuoteChar" w:customStyle="1">
    <w:name w:val="Quote Char"/>
    <w:link w:val="Quote"/>
    <w:uiPriority w:val="29"/>
    <w:qFormat/>
    <w:rPr>
      <w:i/>
      <w:iCs/>
      <w:color w:val="000000" w:themeColor="text1"/>
    </w:rPr>
  </w:style>
  <w:style w:type="character" w:styleId="IntenseQuoteChar" w:customStyle="1">
    <w:name w:val="Intense Quote Char"/>
    <w:link w:val="IntenseQuote"/>
    <w:uiPriority w:val="30"/>
    <w:qFormat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FootnoteTextChar" w:customStyle="1">
    <w:name w:val="Footnote Text Char"/>
    <w:link w:val="Footnotetext"/>
    <w:uiPriority w:val="99"/>
    <w:semiHidden/>
    <w:qFormat/>
    <w:rPr>
      <w:sz w:val="20"/>
      <w:szCs w:val="20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Footnotereference">
    <w:name w:val="Footnote reference"/>
    <w:uiPriority w:val="99"/>
    <w:semiHidden/>
    <w:unhideWhenUsed/>
    <w:qFormat/>
    <w:rPr>
      <w:vertAlign w:val="superscript"/>
    </w:rPr>
  </w:style>
  <w:style w:type="character" w:styleId="EndnoteTextChar" w:customStyle="1">
    <w:name w:val="Endnote Text Char"/>
    <w:link w:val="Endnotetext"/>
    <w:uiPriority w:val="99"/>
    <w:semiHidden/>
    <w:qFormat/>
    <w:rPr>
      <w:sz w:val="20"/>
      <w:szCs w:val="20"/>
    </w:rPr>
  </w:style>
  <w:style w:type="character" w:styleId="Style9">
    <w:name w:val="Символ концевой сноски"/>
    <w:qFormat/>
    <w:rPr>
      <w:vertAlign w:val="superscript"/>
    </w:rPr>
  </w:style>
  <w:style w:type="character" w:styleId="Style10">
    <w:name w:val="Endnote Reference"/>
    <w:rPr>
      <w:vertAlign w:val="superscript"/>
    </w:rPr>
  </w:style>
  <w:style w:type="character" w:styleId="Endnotereference">
    <w:name w:val="Endnote reference"/>
    <w:uiPriority w:val="99"/>
    <w:semiHidden/>
    <w:unhideWhenUsed/>
    <w:qFormat/>
    <w:rPr>
      <w:vertAlign w:val="superscript"/>
    </w:rPr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PlainTextChar" w:customStyle="1">
    <w:name w:val="Plain Text Char"/>
    <w:link w:val="PlainText"/>
    <w:uiPriority w:val="99"/>
    <w:qFormat/>
    <w:rPr>
      <w:rFonts w:ascii="Courier New" w:hAnsi="Courier New" w:cs="Courier New"/>
      <w:sz w:val="21"/>
      <w:szCs w:val="21"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Маркеры"/>
    <w:uiPriority w:val="99"/>
    <w:qFormat/>
    <w:rPr>
      <w:rFonts w:ascii="OpenSymbol" w:hAnsi="OpenSymbol" w:eastAsia="OpenSymbol" w:cs="OpenSymbol"/>
    </w:rPr>
  </w:style>
  <w:style w:type="paragraph" w:styleId="Style12" w:customStyle="1">
    <w:name w:val="Заголовок"/>
    <w:basedOn w:val="Standard"/>
    <w:next w:val="Textbody"/>
    <w:uiPriority w:val="99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Textbody"/>
    <w:uiPriority w:val="99"/>
    <w:pPr/>
    <w:rPr>
      <w:rFonts w:cs="Mangal"/>
    </w:rPr>
  </w:style>
  <w:style w:type="paragraph" w:styleId="Style15">
    <w:name w:val="Caption"/>
    <w:basedOn w:val="Standard"/>
    <w:uiPriority w:val="99"/>
    <w:qFormat/>
    <w:pPr>
      <w:spacing w:before="120" w:after="120"/>
    </w:pPr>
    <w:rPr>
      <w:i/>
      <w:iCs/>
    </w:rPr>
  </w:style>
  <w:style w:type="paragraph" w:styleId="Style16" w:customStyle="1">
    <w:name w:val="Указатель"/>
    <w:basedOn w:val="Standard"/>
    <w:uiPriority w:val="99"/>
    <w:qFormat/>
    <w:pPr/>
    <w:rPr>
      <w:rFonts w:cs="Mangal"/>
    </w:rPr>
  </w:style>
  <w:style w:type="paragraph" w:styleId="Style17">
    <w:name w:val="Title"/>
    <w:link w:val="TitleChar"/>
    <w:uiPriority w:val="10"/>
    <w:qFormat/>
    <w:pPr>
      <w:widowControl w:val="false"/>
      <w:pBdr>
        <w:bottom w:val="single" w:sz="8" w:space="4" w:color="4F81BD"/>
      </w:pBdr>
      <w:suppressAutoHyphens w:val="true"/>
      <w:bidi w:val="0"/>
      <w:spacing w:lineRule="auto" w:line="240" w:before="0" w:after="300"/>
      <w:contextualSpacing/>
      <w:jc w:val="left"/>
    </w:pPr>
    <w:rPr>
      <w:rFonts w:ascii="Cambria" w:hAnsi="Cambria" w:eastAsia="" w:cs="" w:asciiTheme="majorHAnsi" w:cstheme="majorBidi" w:eastAsiaTheme="majorEastAsia" w:hAnsiTheme="majorHAnsi"/>
      <w:color w:val="17375D" w:themeColor="text2" w:themeShade="bf"/>
      <w:spacing w:val="5"/>
      <w:kern w:val="0"/>
      <w:sz w:val="52"/>
      <w:szCs w:val="52"/>
      <w:lang w:val="de-DE" w:eastAsia="ja-JP" w:bidi="fa-IR"/>
    </w:rPr>
  </w:style>
  <w:style w:type="paragraph" w:styleId="Style18">
    <w:name w:val="Subtitle"/>
    <w:link w:val="SubtitleChar"/>
    <w:uiPriority w:val="11"/>
    <w:qFormat/>
    <w:pPr>
      <w:widowControl w:val="false"/>
      <w:suppressAutoHyphens w:val="true"/>
      <w:bidi w:val="0"/>
      <w:spacing w:before="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kern w:val="0"/>
      <w:sz w:val="24"/>
      <w:szCs w:val="24"/>
      <w:lang w:val="de-DE" w:eastAsia="ja-JP" w:bidi="fa-IR"/>
    </w:rPr>
  </w:style>
  <w:style w:type="paragraph" w:styleId="Quote">
    <w:name w:val="Quote"/>
    <w:link w:val="QuoteChar"/>
    <w:uiPriority w:val="29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i/>
      <w:iCs/>
      <w:color w:val="000000" w:themeColor="text1"/>
      <w:kern w:val="0"/>
      <w:sz w:val="24"/>
      <w:szCs w:val="24"/>
      <w:lang w:val="de-DE" w:eastAsia="ja-JP" w:bidi="fa-IR"/>
    </w:rPr>
  </w:style>
  <w:style w:type="paragraph" w:styleId="IntenseQuote">
    <w:name w:val="Intense Quote"/>
    <w:link w:val="IntenseQuoteChar"/>
    <w:uiPriority w:val="30"/>
    <w:qFormat/>
    <w:pPr>
      <w:widowControl w:val="false"/>
      <w:pBdr>
        <w:bottom w:val="single" w:sz="4" w:space="4" w:color="4F81BD"/>
      </w:pBdr>
      <w:suppressAutoHyphens w:val="true"/>
      <w:bidi w:val="0"/>
      <w:spacing w:before="200" w:after="280"/>
      <w:ind w:left="936" w:right="936" w:hanging="0"/>
      <w:jc w:val="left"/>
    </w:pPr>
    <w:rPr>
      <w:rFonts w:ascii="Times New Roman" w:hAnsi="Times New Roman" w:eastAsia="Andale Sans UI" w:cs="Tahoma"/>
      <w:b/>
      <w:bCs/>
      <w:i/>
      <w:iCs/>
      <w:color w:val="4F81BD" w:themeColor="accent1"/>
      <w:kern w:val="0"/>
      <w:sz w:val="24"/>
      <w:szCs w:val="24"/>
      <w:lang w:val="de-DE" w:eastAsia="ja-JP" w:bidi="fa-IR"/>
    </w:rPr>
  </w:style>
  <w:style w:type="paragraph" w:styleId="Footnotetext">
    <w:name w:val="Footnote text"/>
    <w:link w:val="Footnote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0"/>
      <w:szCs w:val="20"/>
      <w:lang w:val="de-DE" w:eastAsia="ja-JP" w:bidi="fa-IR"/>
    </w:rPr>
  </w:style>
  <w:style w:type="paragraph" w:styleId="Endnotetext">
    <w:name w:val="Endnote text"/>
    <w:link w:val="Endnote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0"/>
      <w:szCs w:val="20"/>
      <w:lang w:val="de-DE" w:eastAsia="ja-JP" w:bidi="fa-IR"/>
    </w:rPr>
  </w:style>
  <w:style w:type="paragraph" w:styleId="PlainText">
    <w:name w:val="Plain Text"/>
    <w:link w:val="Plain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Andale Sans UI" w:cs="Courier New"/>
      <w:color w:val="auto"/>
      <w:kern w:val="0"/>
      <w:sz w:val="21"/>
      <w:szCs w:val="21"/>
      <w:lang w:val="de-DE" w:eastAsia="ja-JP" w:bidi="fa-IR"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link w:val="HeaderChar"/>
    <w:uiPriority w:val="99"/>
    <w:unhideWhenUsed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Style21">
    <w:name w:val="Footer"/>
    <w:link w:val="FooterChar"/>
    <w:uiPriority w:val="99"/>
    <w:unhideWhenUsed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Standard" w:customStyle="1">
    <w:name w:val="Standard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uiPriority w:val="99"/>
    <w:qFormat/>
    <w:pPr>
      <w:spacing w:before="0" w:after="120"/>
    </w:pPr>
    <w:rPr/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ListParagraph">
    <w:name w:val="List Paragraph"/>
    <w:basedOn w:val="Standard"/>
    <w:uiPriority w:val="99"/>
    <w:qFormat/>
    <w:pPr>
      <w:ind w:left="720" w:hanging="0"/>
    </w:pPr>
    <w:rPr/>
  </w:style>
  <w:style w:type="paragraph" w:styleId="Style22" w:customStyle="1">
    <w:name w:val="Содержимое таблицы"/>
    <w:basedOn w:val="Standard"/>
    <w:uiPriority w:val="99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Tab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Сеткатаблицы1">
    <w:name w:val="Сетка таблицы1"/>
    <w:basedOn w:val="NormalTable"/>
    <w:uiPriority w:val="59"/>
    <w:rPr>
      <w:lang w:val="ru-RU" w:eastAsia="en-US" w:bidi="ar-SA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Сеткатаблицы2">
    <w:name w:val="Сетка таблицы2"/>
    <w:basedOn w:val="NormalTable"/>
    <w:uiPriority w:val="59"/>
    <w:rPr>
      <w:lang w:val="ru-RU" w:eastAsia="en-US" w:bidi="ar-SA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BAF29-474A-400C-9ED4-9C3BB53C4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3884</TotalTime>
  <Application>LibreOffice/7.5.3.2$Windows_X86_64 LibreOffice_project/9f56dff12ba03b9acd7730a5a481eea045e468f3</Application>
  <AppVersion>15.0000</AppVersion>
  <Pages>5</Pages>
  <Words>1287</Words>
  <Characters>9401</Characters>
  <CharactersWithSpaces>10598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Leno4ka</dc:creator>
  <dc:description/>
  <dc:language>ru-RU</dc:language>
  <cp:lastModifiedBy/>
  <dcterms:modified xsi:type="dcterms:W3CDTF">2026-09-15T13:57:28Z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