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6B" w:rsidRDefault="00220B6B" w:rsidP="00220B6B">
      <w:pPr>
        <w:shd w:val="clear" w:color="auto" w:fill="FFFFFF"/>
        <w:spacing w:after="0" w:line="240" w:lineRule="auto"/>
        <w:ind w:left="14"/>
        <w:textAlignment w:val="baseline"/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Гармония по светлоте.</w:t>
      </w:r>
      <w:r w:rsidR="00B97551"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 xml:space="preserve"> </w:t>
      </w:r>
    </w:p>
    <w:p w:rsidR="00B97551" w:rsidRDefault="00B97551" w:rsidP="00220B6B">
      <w:pPr>
        <w:shd w:val="clear" w:color="auto" w:fill="FFFFFF"/>
        <w:spacing w:after="0" w:line="240" w:lineRule="auto"/>
        <w:ind w:left="14"/>
        <w:textAlignment w:val="baseline"/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 xml:space="preserve">Последовательное ведение длительной работы. Выражение </w:t>
      </w:r>
      <w:r>
        <w:rPr>
          <w:rFonts w:ascii="inherit" w:eastAsia="Times New Roman" w:hAnsi="inherit" w:cs="Arial" w:hint="eastAsia"/>
          <w:b/>
          <w:bCs/>
          <w:color w:val="434A54"/>
          <w:sz w:val="21"/>
          <w:lang w:eastAsia="ru-RU"/>
        </w:rPr>
        <w:t>«</w:t>
      </w: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состояния</w:t>
      </w:r>
      <w:r>
        <w:rPr>
          <w:rFonts w:ascii="inherit" w:eastAsia="Times New Roman" w:hAnsi="inherit" w:cs="Arial" w:hint="eastAsia"/>
          <w:b/>
          <w:bCs/>
          <w:color w:val="434A54"/>
          <w:sz w:val="21"/>
          <w:lang w:eastAsia="ru-RU"/>
        </w:rPr>
        <w:t>»</w:t>
      </w: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натюрморта</w:t>
      </w:r>
      <w:proofErr w:type="gramStart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.Л</w:t>
      </w:r>
      <w:proofErr w:type="gramEnd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епка</w:t>
      </w:r>
      <w:proofErr w:type="spellEnd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 xml:space="preserve"> формы цветом. Натюрмо</w:t>
      </w:r>
      <w:proofErr w:type="gramStart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рт в св</w:t>
      </w:r>
      <w:proofErr w:type="gramEnd"/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етлой тональности.</w:t>
      </w:r>
    </w:p>
    <w:p w:rsidR="00B97551" w:rsidRDefault="00B97551" w:rsidP="00220B6B">
      <w:pPr>
        <w:shd w:val="clear" w:color="auto" w:fill="FFFFFF"/>
        <w:spacing w:after="0" w:line="240" w:lineRule="auto"/>
        <w:ind w:left="14"/>
        <w:textAlignment w:val="baseline"/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</w:pPr>
    </w:p>
    <w:p w:rsidR="00220B6B" w:rsidRPr="00220B6B" w:rsidRDefault="00220B6B" w:rsidP="00220B6B">
      <w:pPr>
        <w:shd w:val="clear" w:color="auto" w:fill="FFFFFF"/>
        <w:spacing w:after="0" w:line="240" w:lineRule="auto"/>
        <w:ind w:left="14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Ц</w:t>
      </w:r>
      <w:r w:rsidRPr="00220B6B"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ели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- изучение способов выявления пространственных отношений в живописи, формирование представлений о колорите, роли тональных и тепло-холодных отношений, явлений контраста и нюанса в живописном решении натюрморта.</w:t>
      </w:r>
    </w:p>
    <w:p w:rsidR="00220B6B" w:rsidRPr="00220B6B" w:rsidRDefault="00220B6B" w:rsidP="00220B6B">
      <w:pPr>
        <w:shd w:val="clear" w:color="auto" w:fill="FFFFFF"/>
        <w:spacing w:after="0" w:line="240" w:lineRule="auto"/>
        <w:ind w:left="24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Задачи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- закрепление представлений о цветовой гамме живописной работы, знаний о воздушной перспективе, плановости натюрморта, тональности, навыков передачи материальности прозрачных предметов. Передач тоном и цветов нюансов родственных по гамме цветов на примере натюрморта.</w:t>
      </w:r>
    </w:p>
    <w:p w:rsidR="00220B6B" w:rsidRPr="00220B6B" w:rsidRDefault="00220B6B" w:rsidP="00B97551">
      <w:pPr>
        <w:shd w:val="clear" w:color="auto" w:fill="FFFFFF"/>
        <w:spacing w:after="0" w:line="240" w:lineRule="auto"/>
        <w:ind w:left="24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>Материалы:</w:t>
      </w:r>
    </w:p>
    <w:p w:rsidR="00220B6B" w:rsidRPr="00220B6B" w:rsidRDefault="00220B6B" w:rsidP="00220B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бумага для акварели;</w:t>
      </w:r>
    </w:p>
    <w:p w:rsidR="00220B6B" w:rsidRPr="00220B6B" w:rsidRDefault="00220B6B" w:rsidP="00220B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простой карандаш;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br/>
        <w:t>- акварельные краски;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br/>
        <w:t>- кисти;</w:t>
      </w:r>
    </w:p>
    <w:p w:rsidR="00220B6B" w:rsidRPr="00220B6B" w:rsidRDefault="00220B6B" w:rsidP="00220B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палитра;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br/>
        <w:t>- банка для воды</w:t>
      </w:r>
    </w:p>
    <w:p w:rsidR="00220B6B" w:rsidRPr="00220B6B" w:rsidRDefault="00220B6B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b/>
          <w:bCs/>
          <w:color w:val="434A54"/>
          <w:sz w:val="20"/>
          <w:lang w:eastAsia="ru-RU"/>
        </w:rPr>
        <w:t>Этапы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</w:t>
      </w:r>
      <w:r w:rsidRPr="00220B6B">
        <w:rPr>
          <w:rFonts w:ascii="inherit" w:eastAsia="Times New Roman" w:hAnsi="inherit" w:cs="Arial"/>
          <w:b/>
          <w:bCs/>
          <w:color w:val="434A54"/>
          <w:sz w:val="20"/>
          <w:lang w:eastAsia="ru-RU"/>
        </w:rPr>
        <w:t>работы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</w:t>
      </w:r>
      <w:r w:rsidRPr="00220B6B">
        <w:rPr>
          <w:rFonts w:ascii="inherit" w:eastAsia="Times New Roman" w:hAnsi="inherit" w:cs="Arial"/>
          <w:b/>
          <w:bCs/>
          <w:color w:val="434A54"/>
          <w:sz w:val="20"/>
          <w:lang w:eastAsia="ru-RU"/>
        </w:rPr>
        <w:t>над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</w:t>
      </w:r>
      <w:r w:rsidRPr="00220B6B">
        <w:rPr>
          <w:rFonts w:ascii="inherit" w:eastAsia="Times New Roman" w:hAnsi="inherit" w:cs="Arial"/>
          <w:b/>
          <w:bCs/>
          <w:color w:val="434A54"/>
          <w:sz w:val="20"/>
          <w:lang w:eastAsia="ru-RU"/>
        </w:rPr>
        <w:t>натюрмортом. Акварельная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 </w:t>
      </w:r>
      <w:r w:rsidRPr="00220B6B">
        <w:rPr>
          <w:rFonts w:ascii="inherit" w:eastAsia="Times New Roman" w:hAnsi="inherit" w:cs="Arial"/>
          <w:b/>
          <w:bCs/>
          <w:color w:val="434A54"/>
          <w:sz w:val="20"/>
          <w:lang w:eastAsia="ru-RU"/>
        </w:rPr>
        <w:t>живопись.</w:t>
      </w:r>
    </w:p>
    <w:p w:rsidR="00220B6B" w:rsidRPr="00220B6B" w:rsidRDefault="00220B6B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1 этап. 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Выполнение зарисовок и эскизов с целью композиционного решения натюрморта на листе. </w:t>
      </w:r>
    </w:p>
    <w:p w:rsidR="00220B6B" w:rsidRPr="00220B6B" w:rsidRDefault="00220B6B" w:rsidP="00220B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Формирование навыков грамотной и осознанной компоновки натюрморта.</w:t>
      </w:r>
    </w:p>
    <w:p w:rsidR="00220B6B" w:rsidRPr="00220B6B" w:rsidRDefault="00220B6B" w:rsidP="00B975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Выбор точки зрения относительно натуры и формата с использованием видоискателя. С различных точек зрения натюрморт выглядит по-разному: изменяется композиционный центр, доминирующее направление (вертикальное, горизонтальное, диагональное), т.е. появляется новый композиционный строй, новый образ натюрморта.</w:t>
      </w:r>
    </w:p>
    <w:p w:rsidR="00220B6B" w:rsidRPr="00220B6B" w:rsidRDefault="00220B6B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2 этап. 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Композиционное решение и построение предметов натюрморта в выбранном формате листа. </w:t>
      </w:r>
    </w:p>
    <w:p w:rsidR="00220B6B" w:rsidRPr="00220B6B" w:rsidRDefault="00220B6B" w:rsidP="00220B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Построение пространственного изображения натюрморта, учитывая пропорции, конструкцию, взаимосвязь композиционного расположения в листе всех предметов и сравнительный анализ их формы.</w:t>
      </w:r>
    </w:p>
    <w:p w:rsidR="00B97551" w:rsidRDefault="00220B6B" w:rsidP="00B975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</w:pPr>
      <w:r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3 этап. </w:t>
      </w: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Детальная прорисовка формы каждого предмета. </w:t>
      </w:r>
    </w:p>
    <w:p w:rsidR="00220B6B" w:rsidRPr="00220B6B" w:rsidRDefault="00B97551" w:rsidP="00B975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B97551">
        <w:rPr>
          <w:rFonts w:ascii="inherit" w:eastAsia="Times New Roman" w:hAnsi="inherit" w:cs="Arial"/>
          <w:bCs/>
          <w:color w:val="434A54"/>
          <w:sz w:val="21"/>
          <w:lang w:eastAsia="ru-RU"/>
        </w:rPr>
        <w:t>Взаимосвязь</w:t>
      </w:r>
      <w:r>
        <w:rPr>
          <w:rFonts w:ascii="inherit" w:eastAsia="Times New Roman" w:hAnsi="inherit" w:cs="Arial"/>
          <w:b/>
          <w:bCs/>
          <w:color w:val="434A54"/>
          <w:sz w:val="21"/>
          <w:lang w:eastAsia="ru-RU"/>
        </w:rPr>
        <w:t xml:space="preserve"> </w:t>
      </w:r>
      <w:r w:rsidR="00220B6B"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светотеневого решения натюрморта и его композиционного расположения в листе, как следствие того, что под композицией листа понимается не только расположение очертаний предметов, а также сочетание и расположение пятен света, тени и полутонов.</w:t>
      </w:r>
    </w:p>
    <w:p w:rsidR="00220B6B" w:rsidRPr="00220B6B" w:rsidRDefault="00220B6B" w:rsidP="00220B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Линии рисунка должны быть легкими с определением мест бликов, границ полутона и тени, но не путем штриховки, которая может просвечивать сквозь акварельный красочный слой.</w:t>
      </w:r>
    </w:p>
    <w:p w:rsidR="00220B6B" w:rsidRPr="00220B6B" w:rsidRDefault="00B97551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4</w:t>
      </w:r>
      <w:r w:rsidR="00220B6B"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 этап. </w:t>
      </w:r>
      <w:r w:rsidR="00220B6B"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Первая прокладка цветом. </w:t>
      </w:r>
    </w:p>
    <w:p w:rsidR="00220B6B" w:rsidRPr="00220B6B" w:rsidRDefault="00220B6B" w:rsidP="00220B6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Обобщенно прописать локальным цветом всю поверхность листа, прокладывая цветовые отношения отдельных плоскостей, не забывая, что в акварели нет белой краски, поэтому белизна листа является самым светлым тоном в работе.</w:t>
      </w:r>
    </w:p>
    <w:p w:rsidR="00220B6B" w:rsidRPr="00220B6B" w:rsidRDefault="00AA32C3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5</w:t>
      </w:r>
      <w:r w:rsidR="00220B6B"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 этап. </w:t>
      </w:r>
      <w:r w:rsidR="00220B6B"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Тщательная прорисовка конкретных деталей. </w:t>
      </w:r>
    </w:p>
    <w:p w:rsidR="00220B6B" w:rsidRPr="00220B6B" w:rsidRDefault="00220B6B" w:rsidP="00220B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 xml:space="preserve">Передача фактуры предметов с выявлением их объемной формы и </w:t>
      </w:r>
      <w:proofErr w:type="gramStart"/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планов</w:t>
      </w:r>
      <w:proofErr w:type="gramEnd"/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 xml:space="preserve"> на которых они расположены.</w:t>
      </w:r>
    </w:p>
    <w:p w:rsidR="00220B6B" w:rsidRPr="00220B6B" w:rsidRDefault="00220B6B" w:rsidP="00220B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 xml:space="preserve">Огромное значение имеет кладка мазка, </w:t>
      </w:r>
      <w:proofErr w:type="gramStart"/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от</w:t>
      </w:r>
      <w:proofErr w:type="gramEnd"/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 xml:space="preserve"> широкого свободного до точки. Он должен передавать не только цвет и направление формы, но и быть выразительным, точно характеризовать особенности изображаемого материала, пластику формы, подчеркивать композицию всего натюрморта. На стекле рефлексы четкие, хорошо видны. Надо почувствовать меру живописного обобщения стекла и очень тонко увидеть цветовые и тональные нюансы предмета.</w:t>
      </w:r>
    </w:p>
    <w:p w:rsidR="00220B6B" w:rsidRPr="00220B6B" w:rsidRDefault="00220B6B" w:rsidP="00220B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Чтобы передать пространство надо по мере удаления предметов в глубину снижать яркость цвета и тоновой контраст относительно первого плана.</w:t>
      </w:r>
    </w:p>
    <w:p w:rsidR="00220B6B" w:rsidRPr="00220B6B" w:rsidRDefault="00AA32C3" w:rsidP="00220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6</w:t>
      </w:r>
      <w:r w:rsidR="008743A9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 xml:space="preserve"> </w:t>
      </w:r>
      <w:r w:rsidR="00220B6B" w:rsidRPr="00220B6B">
        <w:rPr>
          <w:rFonts w:ascii="inherit" w:eastAsia="Times New Roman" w:hAnsi="inherit" w:cs="Arial"/>
          <w:b/>
          <w:bCs/>
          <w:i/>
          <w:iCs/>
          <w:color w:val="434A54"/>
          <w:sz w:val="21"/>
          <w:lang w:eastAsia="ru-RU"/>
        </w:rPr>
        <w:t>этап. </w:t>
      </w:r>
      <w:r w:rsidR="00220B6B"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Завершение работы. </w:t>
      </w:r>
    </w:p>
    <w:p w:rsidR="00220B6B" w:rsidRPr="00220B6B" w:rsidRDefault="00220B6B" w:rsidP="00220B6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34A54"/>
          <w:sz w:val="20"/>
          <w:szCs w:val="20"/>
          <w:lang w:eastAsia="ru-RU"/>
        </w:rPr>
      </w:pPr>
      <w:r w:rsidRPr="00220B6B">
        <w:rPr>
          <w:rFonts w:ascii="inherit" w:eastAsia="Times New Roman" w:hAnsi="inherit" w:cs="Arial"/>
          <w:color w:val="434A54"/>
          <w:sz w:val="21"/>
          <w:szCs w:val="21"/>
          <w:bdr w:val="none" w:sz="0" w:space="0" w:color="auto" w:frame="1"/>
          <w:lang w:eastAsia="ru-RU"/>
        </w:rPr>
        <w:t>После просыхания этюда с помощью следующего слоя насыщается цвет теней, уточняются оттенки полутонов, конкретизируется работа над формами постановки. Завершается работа приведением всех деталей постановки к близкому натуре цветовому и тональному состоянию, акцентированием основных, наиболее интересных и характерных качеств постановки и обобщением второстепенных.</w:t>
      </w:r>
    </w:p>
    <w:p w:rsidR="003C095F" w:rsidRDefault="003C095F">
      <w:r>
        <w:rPr>
          <w:noProof/>
          <w:lang w:eastAsia="ru-RU"/>
        </w:rPr>
        <w:lastRenderedPageBreak/>
        <w:drawing>
          <wp:inline distT="0" distB="0" distL="0" distR="0">
            <wp:extent cx="2619375" cy="3615831"/>
            <wp:effectExtent l="19050" t="0" r="9525" b="0"/>
            <wp:docPr id="1" name="Рисунок 1" descr="D:\_D\Мои документы\Лена\худ.школа\удаленка\a8c4b7004f8e1a3841ea07781c2ee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D\Мои документы\Лена\худ.школа\удаленка\a8c4b7004f8e1a3841ea07781c2eec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0" cy="361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95F" w:rsidRDefault="003C095F">
      <w:r>
        <w:rPr>
          <w:noProof/>
          <w:lang w:eastAsia="ru-RU"/>
        </w:rPr>
        <w:drawing>
          <wp:inline distT="0" distB="0" distL="0" distR="0">
            <wp:extent cx="3049115" cy="2171700"/>
            <wp:effectExtent l="19050" t="0" r="0" b="0"/>
            <wp:docPr id="3" name="Рисунок 2" descr="bb68d0897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68d0897f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488" cy="217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90825" cy="2093044"/>
            <wp:effectExtent l="19050" t="0" r="9525" b="0"/>
            <wp:docPr id="4" name="Рисунок 3" descr="hello_html_32dc9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2dc92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CB6" w:rsidRDefault="003C095F">
      <w:r>
        <w:rPr>
          <w:noProof/>
          <w:lang w:eastAsia="ru-RU"/>
        </w:rPr>
        <w:drawing>
          <wp:inline distT="0" distB="0" distL="0" distR="0">
            <wp:extent cx="2933700" cy="2091378"/>
            <wp:effectExtent l="19050" t="0" r="0" b="0"/>
            <wp:docPr id="5" name="Рисунок 4" descr="image_image_1248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image_124829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9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0150" cy="2590800"/>
            <wp:effectExtent l="19050" t="0" r="0" b="0"/>
            <wp:docPr id="6" name="Рисунок 5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557" cy="25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CB6" w:rsidSect="0063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CAC"/>
    <w:multiLevelType w:val="multilevel"/>
    <w:tmpl w:val="717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602B"/>
    <w:multiLevelType w:val="multilevel"/>
    <w:tmpl w:val="555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37759"/>
    <w:multiLevelType w:val="multilevel"/>
    <w:tmpl w:val="F43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676B9"/>
    <w:multiLevelType w:val="multilevel"/>
    <w:tmpl w:val="D16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653D8"/>
    <w:multiLevelType w:val="multilevel"/>
    <w:tmpl w:val="977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76AF9"/>
    <w:multiLevelType w:val="multilevel"/>
    <w:tmpl w:val="2E8A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E102F"/>
    <w:multiLevelType w:val="multilevel"/>
    <w:tmpl w:val="3252D76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C3A8D"/>
    <w:multiLevelType w:val="multilevel"/>
    <w:tmpl w:val="0B1C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B6B"/>
    <w:rsid w:val="00220B6B"/>
    <w:rsid w:val="003C095F"/>
    <w:rsid w:val="00637CB6"/>
    <w:rsid w:val="008743A9"/>
    <w:rsid w:val="00AA32C3"/>
    <w:rsid w:val="00B97551"/>
    <w:rsid w:val="00FE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B6B"/>
    <w:rPr>
      <w:b/>
      <w:bCs/>
    </w:rPr>
  </w:style>
  <w:style w:type="character" w:styleId="a5">
    <w:name w:val="Emphasis"/>
    <w:basedOn w:val="a0"/>
    <w:uiPriority w:val="20"/>
    <w:qFormat/>
    <w:rsid w:val="00220B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2020-05-07T15:06:00Z</dcterms:created>
  <dcterms:modified xsi:type="dcterms:W3CDTF">2020-05-07T15:40:00Z</dcterms:modified>
</cp:coreProperties>
</file>