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Layout w:type="fixed"/>
        <w:tblCellMar>
          <w:left w:w="0" w:type="dxa"/>
          <w:right w:w="0" w:type="dxa"/>
        </w:tblCellMar>
        <w:tblLook w:val="04A0" w:firstRow="1" w:lastRow="0" w:firstColumn="1" w:lastColumn="0" w:noHBand="0" w:noVBand="1"/>
      </w:tblPr>
      <w:tblGrid>
        <w:gridCol w:w="573"/>
        <w:gridCol w:w="143"/>
        <w:gridCol w:w="144"/>
        <w:gridCol w:w="143"/>
        <w:gridCol w:w="2866"/>
        <w:gridCol w:w="286"/>
        <w:gridCol w:w="430"/>
        <w:gridCol w:w="860"/>
        <w:gridCol w:w="859"/>
        <w:gridCol w:w="144"/>
        <w:gridCol w:w="429"/>
        <w:gridCol w:w="287"/>
        <w:gridCol w:w="287"/>
        <w:gridCol w:w="143"/>
        <w:gridCol w:w="143"/>
        <w:gridCol w:w="573"/>
        <w:gridCol w:w="430"/>
        <w:gridCol w:w="573"/>
        <w:gridCol w:w="430"/>
        <w:gridCol w:w="143"/>
        <w:gridCol w:w="573"/>
        <w:gridCol w:w="430"/>
        <w:gridCol w:w="144"/>
        <w:gridCol w:w="143"/>
        <w:gridCol w:w="286"/>
        <w:gridCol w:w="717"/>
        <w:gridCol w:w="143"/>
        <w:gridCol w:w="287"/>
        <w:gridCol w:w="716"/>
        <w:gridCol w:w="716"/>
        <w:gridCol w:w="430"/>
        <w:gridCol w:w="1132"/>
        <w:gridCol w:w="26"/>
      </w:tblGrid>
      <w:tr w:rsidR="001B2DA7">
        <w:trPr>
          <w:trHeight w:hRule="exact" w:val="573"/>
        </w:trPr>
        <w:tc>
          <w:tcPr>
            <w:tcW w:w="15618" w:type="dxa"/>
            <w:gridSpan w:val="33"/>
          </w:tcPr>
          <w:p w:rsidR="001B2DA7" w:rsidRDefault="001B2DA7"/>
        </w:tc>
      </w:tr>
      <w:tr w:rsidR="001B2DA7">
        <w:trPr>
          <w:trHeight w:hRule="exact" w:val="387"/>
        </w:trPr>
        <w:tc>
          <w:tcPr>
            <w:tcW w:w="15618" w:type="dxa"/>
            <w:gridSpan w:val="33"/>
            <w:shd w:val="clear" w:color="auto" w:fill="auto"/>
            <w:vAlign w:val="center"/>
          </w:tcPr>
          <w:p w:rsidR="001B2DA7" w:rsidRDefault="00A15B55">
            <w:pPr>
              <w:spacing w:line="230" w:lineRule="auto"/>
              <w:jc w:val="center"/>
              <w:rPr>
                <w:rFonts w:ascii="Times New Roman" w:eastAsia="Times New Roman" w:hAnsi="Times New Roman" w:cs="Times New Roman"/>
                <w:b/>
                <w:color w:val="000000"/>
                <w:spacing w:val="-2"/>
                <w:sz w:val="28"/>
              </w:rPr>
            </w:pPr>
            <w:r>
              <w:rPr>
                <w:rFonts w:ascii="Times New Roman" w:eastAsia="Times New Roman" w:hAnsi="Times New Roman" w:cs="Times New Roman"/>
                <w:b/>
                <w:color w:val="000000"/>
                <w:spacing w:val="-2"/>
                <w:sz w:val="28"/>
              </w:rPr>
              <w:t>П А С П О Р Т</w:t>
            </w:r>
          </w:p>
        </w:tc>
      </w:tr>
      <w:tr w:rsidR="001B2DA7">
        <w:trPr>
          <w:trHeight w:hRule="exact" w:val="43"/>
        </w:trPr>
        <w:tc>
          <w:tcPr>
            <w:tcW w:w="15618" w:type="dxa"/>
            <w:gridSpan w:val="33"/>
          </w:tcPr>
          <w:p w:rsidR="001B2DA7" w:rsidRDefault="001B2DA7"/>
        </w:tc>
      </w:tr>
      <w:tr w:rsidR="001B2DA7">
        <w:trPr>
          <w:trHeight w:hRule="exact" w:val="387"/>
        </w:trPr>
        <w:tc>
          <w:tcPr>
            <w:tcW w:w="15618" w:type="dxa"/>
            <w:gridSpan w:val="33"/>
            <w:shd w:val="clear" w:color="auto" w:fill="auto"/>
            <w:vAlign w:val="center"/>
          </w:tcPr>
          <w:p w:rsidR="001B2DA7" w:rsidRDefault="00A15B55">
            <w:pPr>
              <w:spacing w:line="230" w:lineRule="auto"/>
              <w:jc w:val="center"/>
              <w:rPr>
                <w:rFonts w:ascii="Times New Roman" w:eastAsia="Times New Roman" w:hAnsi="Times New Roman" w:cs="Times New Roman"/>
                <w:b/>
                <w:color w:val="000000"/>
                <w:spacing w:val="-2"/>
                <w:sz w:val="28"/>
              </w:rPr>
            </w:pPr>
            <w:r>
              <w:rPr>
                <w:rFonts w:ascii="Times New Roman" w:eastAsia="Times New Roman" w:hAnsi="Times New Roman" w:cs="Times New Roman"/>
                <w:b/>
                <w:color w:val="000000"/>
                <w:spacing w:val="-2"/>
                <w:sz w:val="28"/>
              </w:rPr>
              <w:t>регионального проекта</w:t>
            </w:r>
          </w:p>
        </w:tc>
      </w:tr>
      <w:tr w:rsidR="001B2DA7">
        <w:trPr>
          <w:trHeight w:hRule="exact" w:val="43"/>
        </w:trPr>
        <w:tc>
          <w:tcPr>
            <w:tcW w:w="15618" w:type="dxa"/>
            <w:gridSpan w:val="33"/>
          </w:tcPr>
          <w:p w:rsidR="001B2DA7" w:rsidRDefault="001B2DA7"/>
        </w:tc>
      </w:tr>
      <w:tr w:rsidR="001B2DA7">
        <w:trPr>
          <w:trHeight w:hRule="exact" w:val="573"/>
        </w:trPr>
        <w:tc>
          <w:tcPr>
            <w:tcW w:w="15618" w:type="dxa"/>
            <w:gridSpan w:val="33"/>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Успех каждого ребенка (Ленинградская область)</w:t>
            </w:r>
          </w:p>
        </w:tc>
      </w:tr>
      <w:tr w:rsidR="001B2DA7">
        <w:trPr>
          <w:trHeight w:hRule="exact" w:val="716"/>
        </w:trPr>
        <w:tc>
          <w:tcPr>
            <w:tcW w:w="15618" w:type="dxa"/>
            <w:gridSpan w:val="33"/>
            <w:tcBorders>
              <w:bottom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1. Основные положения</w:t>
            </w:r>
          </w:p>
        </w:tc>
      </w:tr>
      <w:tr w:rsidR="001B2DA7">
        <w:trPr>
          <w:trHeight w:hRule="exact" w:val="573"/>
        </w:trPr>
        <w:tc>
          <w:tcPr>
            <w:tcW w:w="4585"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федерального проекта</w:t>
            </w:r>
          </w:p>
        </w:tc>
        <w:tc>
          <w:tcPr>
            <w:tcW w:w="11033" w:type="dxa"/>
            <w:gridSpan w:val="2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Успех каждого ребенка</w:t>
            </w:r>
          </w:p>
        </w:tc>
      </w:tr>
      <w:tr w:rsidR="001B2DA7">
        <w:trPr>
          <w:trHeight w:hRule="exact" w:val="574"/>
        </w:trPr>
        <w:tc>
          <w:tcPr>
            <w:tcW w:w="4585"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Краткое наименование регионального</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проекта</w:t>
            </w:r>
          </w:p>
        </w:tc>
        <w:tc>
          <w:tcPr>
            <w:tcW w:w="4728" w:type="dxa"/>
            <w:gridSpan w:val="11"/>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Успех каждого ребенка (Ленинградская область)</w:t>
            </w:r>
          </w:p>
        </w:tc>
        <w:tc>
          <w:tcPr>
            <w:tcW w:w="3009" w:type="dxa"/>
            <w:gridSpan w:val="9"/>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начала и</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окончания проекта</w:t>
            </w:r>
          </w:p>
        </w:tc>
        <w:tc>
          <w:tcPr>
            <w:tcW w:w="3296"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01.11.2018 - 30.12.2024</w:t>
            </w:r>
          </w:p>
        </w:tc>
      </w:tr>
      <w:tr w:rsidR="001B2DA7">
        <w:trPr>
          <w:trHeight w:hRule="exact" w:val="573"/>
        </w:trPr>
        <w:tc>
          <w:tcPr>
            <w:tcW w:w="4585"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Куратор регионального проекта</w:t>
            </w:r>
          </w:p>
        </w:tc>
        <w:tc>
          <w:tcPr>
            <w:tcW w:w="11033" w:type="dxa"/>
            <w:gridSpan w:val="2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Емельянов Николай Петрович, Заместитель Председателя Правительства Ленинградской области по социальным вопросам</w:t>
            </w:r>
          </w:p>
        </w:tc>
      </w:tr>
      <w:tr w:rsidR="001B2DA7">
        <w:trPr>
          <w:trHeight w:hRule="exact" w:val="573"/>
        </w:trPr>
        <w:tc>
          <w:tcPr>
            <w:tcW w:w="4585"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Руководитель регионального проекта</w:t>
            </w:r>
          </w:p>
        </w:tc>
        <w:tc>
          <w:tcPr>
            <w:tcW w:w="11033" w:type="dxa"/>
            <w:gridSpan w:val="2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Тарасов Сергей Валентинович, Председатель комитета общего и профессионального образования Ленинградской области</w:t>
            </w:r>
          </w:p>
        </w:tc>
      </w:tr>
      <w:tr w:rsidR="001B2DA7">
        <w:trPr>
          <w:trHeight w:hRule="exact" w:val="573"/>
        </w:trPr>
        <w:tc>
          <w:tcPr>
            <w:tcW w:w="4585"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Администратор регионального проекта</w:t>
            </w:r>
          </w:p>
        </w:tc>
        <w:tc>
          <w:tcPr>
            <w:tcW w:w="11033" w:type="dxa"/>
            <w:gridSpan w:val="2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Рыборецкая Татьяна Геннадьевна, Заместитель председателя комитета - начальник отдела</w:t>
            </w:r>
          </w:p>
        </w:tc>
      </w:tr>
      <w:tr w:rsidR="001B2DA7">
        <w:trPr>
          <w:trHeight w:hRule="exact" w:val="573"/>
        </w:trPr>
        <w:tc>
          <w:tcPr>
            <w:tcW w:w="4585"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Связь с государственными программами </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субъекта Российской Федерации</w:t>
            </w:r>
          </w:p>
        </w:tc>
        <w:tc>
          <w:tcPr>
            <w:tcW w:w="11033" w:type="dxa"/>
            <w:gridSpan w:val="2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Государственная программа Ленинградской области "Современное образование Ленинградской области"</w:t>
            </w:r>
          </w:p>
        </w:tc>
      </w:tr>
      <w:tr w:rsidR="001B2DA7">
        <w:trPr>
          <w:trHeight w:hRule="exact" w:val="430"/>
        </w:trPr>
        <w:tc>
          <w:tcPr>
            <w:tcW w:w="15618" w:type="dxa"/>
            <w:gridSpan w:val="33"/>
            <w:tcBorders>
              <w:top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r>
      <w:tr w:rsidR="001B2DA7">
        <w:trPr>
          <w:trHeight w:hRule="exact" w:val="573"/>
        </w:trPr>
        <w:tc>
          <w:tcPr>
            <w:tcW w:w="15618" w:type="dxa"/>
            <w:gridSpan w:val="33"/>
            <w:tcBorders>
              <w:bottom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2. Цель и показатели регионального проекта</w:t>
            </w:r>
          </w:p>
        </w:tc>
      </w:tr>
      <w:tr w:rsidR="001B2DA7">
        <w:trPr>
          <w:trHeight w:hRule="exact" w:val="1247"/>
        </w:trPr>
        <w:tc>
          <w:tcPr>
            <w:tcW w:w="15618"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 (Ленинградская область)</w:t>
            </w:r>
          </w:p>
        </w:tc>
      </w:tr>
      <w:tr w:rsidR="001B2DA7">
        <w:trPr>
          <w:trHeight w:hRule="exact" w:val="429"/>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4012"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показателя</w:t>
            </w:r>
          </w:p>
        </w:tc>
        <w:tc>
          <w:tcPr>
            <w:tcW w:w="186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Тип показателя</w:t>
            </w:r>
          </w:p>
        </w:tc>
        <w:tc>
          <w:tcPr>
            <w:tcW w:w="2292"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Базовое значение</w:t>
            </w:r>
          </w:p>
        </w:tc>
        <w:tc>
          <w:tcPr>
            <w:tcW w:w="6878" w:type="dxa"/>
            <w:gridSpan w:val="16"/>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Период, год</w:t>
            </w:r>
          </w:p>
        </w:tc>
      </w:tr>
      <w:tr w:rsidR="001B2DA7">
        <w:trPr>
          <w:trHeight w:hRule="exact" w:val="430"/>
        </w:trPr>
        <w:tc>
          <w:tcPr>
            <w:tcW w:w="57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4012"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1863"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100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значение</w:t>
            </w:r>
          </w:p>
        </w:tc>
        <w:tc>
          <w:tcPr>
            <w:tcW w:w="128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дата</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2019</w:t>
            </w:r>
          </w:p>
        </w:tc>
        <w:tc>
          <w:tcPr>
            <w:tcW w:w="114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2020</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2021</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2022</w:t>
            </w:r>
          </w:p>
        </w:tc>
        <w:tc>
          <w:tcPr>
            <w:tcW w:w="114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2023</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2024</w:t>
            </w:r>
          </w:p>
        </w:tc>
      </w:tr>
      <w:tr w:rsidR="001B2DA7">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4012"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86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00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28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14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c>
          <w:tcPr>
            <w:tcW w:w="114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w:t>
            </w:r>
          </w:p>
        </w:tc>
      </w:tr>
      <w:tr w:rsidR="001B2DA7">
        <w:trPr>
          <w:trHeight w:hRule="exact" w:val="444"/>
        </w:trPr>
        <w:tc>
          <w:tcPr>
            <w:tcW w:w="15618"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Доля детей в возрасте от 5 до 18 лет, охваченных дополнительным образованием</w:t>
            </w:r>
          </w:p>
        </w:tc>
      </w:tr>
      <w:tr w:rsidR="001B2DA7">
        <w:trPr>
          <w:trHeight w:hRule="exact" w:val="974"/>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1.1</w:t>
            </w:r>
          </w:p>
        </w:tc>
        <w:tc>
          <w:tcPr>
            <w:tcW w:w="4012"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Доля детей в возрасте от 5 до 18 лет, охваченных дополнительным образованием, ПРОЦ</w:t>
            </w:r>
          </w:p>
        </w:tc>
        <w:tc>
          <w:tcPr>
            <w:tcW w:w="186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Основной показатель</w:t>
            </w:r>
          </w:p>
        </w:tc>
        <w:tc>
          <w:tcPr>
            <w:tcW w:w="100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75,0000</w:t>
            </w:r>
          </w:p>
        </w:tc>
        <w:tc>
          <w:tcPr>
            <w:tcW w:w="128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01.01.2018</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77,0000</w:t>
            </w:r>
          </w:p>
        </w:tc>
        <w:tc>
          <w:tcPr>
            <w:tcW w:w="114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77,5000</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78,0000</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78,5000</w:t>
            </w:r>
          </w:p>
        </w:tc>
        <w:tc>
          <w:tcPr>
            <w:tcW w:w="114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79,0000</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80,0000</w:t>
            </w:r>
          </w:p>
        </w:tc>
      </w:tr>
      <w:tr w:rsidR="001B2DA7">
        <w:trPr>
          <w:trHeight w:hRule="exact" w:val="975"/>
        </w:trPr>
        <w:tc>
          <w:tcPr>
            <w:tcW w:w="15618"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tc>
      </w:tr>
      <w:tr w:rsidR="001B2DA7">
        <w:trPr>
          <w:trHeight w:hRule="exact" w:val="1805"/>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w:t>
            </w:r>
          </w:p>
        </w:tc>
        <w:tc>
          <w:tcPr>
            <w:tcW w:w="4012"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ТЫС ЧЕЛ</w:t>
            </w:r>
          </w:p>
        </w:tc>
        <w:tc>
          <w:tcPr>
            <w:tcW w:w="186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Основной показатель</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0,0000</w:t>
            </w:r>
          </w:p>
        </w:tc>
        <w:tc>
          <w:tcPr>
            <w:tcW w:w="128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01.01.2018</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0,8000</w:t>
            </w:r>
          </w:p>
        </w:tc>
        <w:tc>
          <w:tcPr>
            <w:tcW w:w="1147"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5,9000</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16,2000</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31,7000</w:t>
            </w:r>
          </w:p>
        </w:tc>
        <w:tc>
          <w:tcPr>
            <w:tcW w:w="114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52,4000</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76,6000</w:t>
            </w:r>
          </w:p>
        </w:tc>
      </w:tr>
      <w:tr w:rsidR="001B2DA7">
        <w:trPr>
          <w:trHeight w:hRule="exact" w:val="1805"/>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4012"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863"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289"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147"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430"/>
        </w:trPr>
        <w:tc>
          <w:tcPr>
            <w:tcW w:w="15618" w:type="dxa"/>
            <w:gridSpan w:val="33"/>
            <w:tcBorders>
              <w:top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r>
      <w:tr w:rsidR="001B2DA7">
        <w:trPr>
          <w:trHeight w:hRule="exact" w:val="573"/>
        </w:trPr>
        <w:tc>
          <w:tcPr>
            <w:tcW w:w="15618" w:type="dxa"/>
            <w:gridSpan w:val="33"/>
            <w:tcBorders>
              <w:bottom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2. Цель и показатели регионального проекта</w:t>
            </w:r>
          </w:p>
        </w:tc>
      </w:tr>
      <w:tr w:rsidR="001B2DA7">
        <w:trPr>
          <w:trHeight w:hRule="exact" w:val="717"/>
        </w:trPr>
        <w:tc>
          <w:tcPr>
            <w:tcW w:w="15618"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tc>
      </w:tr>
      <w:tr w:rsidR="001B2DA7">
        <w:trPr>
          <w:trHeight w:hRule="exact" w:val="2564"/>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1.3</w:t>
            </w:r>
          </w:p>
        </w:tc>
        <w:tc>
          <w:tcPr>
            <w:tcW w:w="4012"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 МЛН ЧЕЛ</w:t>
            </w:r>
          </w:p>
        </w:tc>
        <w:tc>
          <w:tcPr>
            <w:tcW w:w="186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Основной показатель</w:t>
            </w:r>
          </w:p>
        </w:tc>
        <w:tc>
          <w:tcPr>
            <w:tcW w:w="100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0,0000</w:t>
            </w:r>
          </w:p>
        </w:tc>
        <w:tc>
          <w:tcPr>
            <w:tcW w:w="128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01.01.2018</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0,0319</w:t>
            </w:r>
          </w:p>
        </w:tc>
        <w:tc>
          <w:tcPr>
            <w:tcW w:w="114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0,0479</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0,0718</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0,0878</w:t>
            </w:r>
          </w:p>
        </w:tc>
        <w:tc>
          <w:tcPr>
            <w:tcW w:w="114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0,1118</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0,1357</w:t>
            </w:r>
          </w:p>
        </w:tc>
      </w:tr>
      <w:tr w:rsidR="001B2DA7">
        <w:trPr>
          <w:trHeight w:hRule="exact" w:val="717"/>
        </w:trPr>
        <w:tc>
          <w:tcPr>
            <w:tcW w:w="15618"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r>
      <w:tr w:rsidR="001B2DA7">
        <w:trPr>
          <w:trHeight w:hRule="exact" w:val="2564"/>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1.4</w:t>
            </w:r>
          </w:p>
        </w:tc>
        <w:tc>
          <w:tcPr>
            <w:tcW w:w="4012"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 ТЫС ЧЕЛ</w:t>
            </w:r>
          </w:p>
        </w:tc>
        <w:tc>
          <w:tcPr>
            <w:tcW w:w="186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Основной показатель</w:t>
            </w:r>
          </w:p>
        </w:tc>
        <w:tc>
          <w:tcPr>
            <w:tcW w:w="100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0,0000</w:t>
            </w:r>
          </w:p>
        </w:tc>
        <w:tc>
          <w:tcPr>
            <w:tcW w:w="128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01.01.2018</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2,4000</w:t>
            </w:r>
          </w:p>
        </w:tc>
        <w:tc>
          <w:tcPr>
            <w:tcW w:w="114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3,6000</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4,8000</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6,6000</w:t>
            </w:r>
          </w:p>
        </w:tc>
        <w:tc>
          <w:tcPr>
            <w:tcW w:w="114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8,4000</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10,8000</w:t>
            </w:r>
          </w:p>
        </w:tc>
      </w:tr>
      <w:tr w:rsidR="001B2DA7">
        <w:trPr>
          <w:trHeight w:hRule="exact" w:val="430"/>
        </w:trPr>
        <w:tc>
          <w:tcPr>
            <w:tcW w:w="15618" w:type="dxa"/>
            <w:gridSpan w:val="33"/>
            <w:tcBorders>
              <w:top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1B2DA7">
        <w:trPr>
          <w:trHeight w:hRule="exact" w:val="573"/>
        </w:trPr>
        <w:tc>
          <w:tcPr>
            <w:tcW w:w="15618" w:type="dxa"/>
            <w:gridSpan w:val="33"/>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3. Результаты регионального проекта</w:t>
            </w:r>
          </w:p>
        </w:tc>
      </w:tr>
      <w:tr w:rsidR="001B2DA7">
        <w:trPr>
          <w:trHeight w:hRule="exact" w:val="430"/>
        </w:trPr>
        <w:tc>
          <w:tcPr>
            <w:tcW w:w="15618" w:type="dxa"/>
            <w:gridSpan w:val="33"/>
            <w:tcBorders>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r>
      <w:tr w:rsidR="001B2DA7">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1B2DA7">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1B2DA7">
        <w:trPr>
          <w:trHeight w:hRule="exact" w:val="974"/>
        </w:trPr>
        <w:tc>
          <w:tcPr>
            <w:tcW w:w="15618"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Задача национального проекта (справочно из паспорта федерального проекта):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w:t>
            </w:r>
            <w:r>
              <w:rPr>
                <w:rFonts w:ascii="Times New Roman" w:eastAsia="Times New Roman" w:hAnsi="Times New Roman" w:cs="Times New Roman"/>
                <w:color w:val="FFFFFF"/>
                <w:spacing w:val="-2"/>
                <w:sz w:val="24"/>
                <w:szCs w:val="24"/>
              </w:rPr>
              <w:t>0</w:t>
            </w:r>
          </w:p>
          <w:p w:rsidR="001B2DA7" w:rsidRDefault="001B2DA7"/>
        </w:tc>
      </w:tr>
      <w:tr w:rsidR="001B2DA7">
        <w:trPr>
          <w:trHeight w:hRule="exact" w:val="193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14902" w:type="dxa"/>
            <w:gridSpan w:val="31"/>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Результат федерального проекта (справочно из паспорта федерального проекта): Не менее чем 12 млн. детей приняли участие в открытых онлайн-уроках, реализуемых с учетом опыта цикла открытых уроков "Проектория", направленных на раннюю профориентацию</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Характеристика результата федерального проекта (справочно из паспорта федерального проекта): Разработаны программы открытых онлайн-уроков, реализуемых с учетом опыта и моделей образовательных онлайн платформ, в том числе "Проектория", за счет федеральной поддержки, а также "Сириус.Онлайн", "Уроки настоящего" и других аналогичных платформ, направленных на раннюю профессиональную ориентацию обучающихся. </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 рамках программ проведены уроки, в которых к концу 2024 года ежегодно принимают участие не менее 12 млн. детей.</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lastRenderedPageBreak/>
              <w:t>Одновременно с целью выявления и распространения лучших практик проведены ежегодные конкурсные отборы лучших открытых онлайн-уроков, направленных на раннюю профориентацию, создание условий для самоопределения в выборе будущего профессионального пути, а также обеспечивающих сопровождение процесса выстраивания индивидуального учебного плана для участников уроков, в том числе представителями отраслей производственной сферы, общественности, реального сектора экономики, ведущих университетов, включая студентов - получателей грантов Президента Российской Федерации.</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Реализация мероприятий будет осуществляться в том числе на базе предпрофильных классов.</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Срок (справочно из паспорта федерального проекта): 31.12.2024</w:t>
            </w:r>
          </w:p>
          <w:p w:rsidR="001B2DA7" w:rsidRDefault="001B2DA7"/>
        </w:tc>
      </w:tr>
      <w:tr w:rsidR="001B2DA7">
        <w:trPr>
          <w:trHeight w:hRule="exact" w:val="193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902" w:type="dxa"/>
            <w:gridSpan w:val="31"/>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1118"/>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1.1</w:t>
            </w:r>
          </w:p>
        </w:tc>
        <w:tc>
          <w:tcPr>
            <w:tcW w:w="7021" w:type="dxa"/>
            <w:gridSpan w:val="13"/>
            <w:tcBorders>
              <w:top w:val="single" w:sz="5" w:space="0" w:color="000000"/>
              <w:left w:val="single" w:sz="5" w:space="0" w:color="000000"/>
              <w:right w:val="single" w:sz="5" w:space="0" w:color="000000"/>
            </w:tcBorders>
            <w:shd w:val="clear" w:color="auto" w:fill="auto"/>
            <w:tcMar>
              <w:left w:w="72" w:type="dxa"/>
              <w:right w:w="72" w:type="dxa"/>
            </w:tcMa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Не менее чем 12 млн. детей приняли участие в открытых онлайн-уроках, реализуемых с учетом опыта цикла открытых уроков "Проектория", направленных на раннюю профориентацию</w:t>
            </w:r>
          </w:p>
        </w:tc>
        <w:tc>
          <w:tcPr>
            <w:tcW w:w="157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6305" w:type="dxa"/>
            <w:gridSpan w:val="1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Разработаны программы открытых онлайн-уроков, реализуемых с учетом опыта и моделей образовательных онлайн платформ, в том числе "Проектория", за счет федеральной поддержки, а также "Сириус.Онлайн", "Уроки настоящего" и других аналогичных платформ, направленных на раннюю профессиональную ориентацию обучающихся. </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 рамках программ проведены уроки, в которых к концу 2024 года ежегодно принимают участие не менее 12 млн. детей.</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Одновременно с целью выявления и распространения лучших практик проведены ежегодные конкурсные отборы лучших открытых онлайн-уроков, направленных на раннюю профориентацию, создание условий для самоопределения в выборе будущего профессионального пути, а также обеспечивающих сопровождение процесса выстраивания </w:t>
            </w:r>
          </w:p>
          <w:p w:rsidR="001B2DA7" w:rsidRDefault="001B2DA7"/>
        </w:tc>
      </w:tr>
      <w:tr w:rsidR="001B2DA7">
        <w:trPr>
          <w:trHeight w:hRule="exact" w:val="151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7021" w:type="dxa"/>
            <w:gridSpan w:val="13"/>
            <w:vMerge w:val="restart"/>
            <w:tcBorders>
              <w:left w:val="single" w:sz="5" w:space="0" w:color="000000"/>
              <w:bottom w:val="single" w:sz="5" w:space="0" w:color="000000"/>
              <w:right w:val="single" w:sz="5" w:space="0" w:color="000000"/>
            </w:tcBorders>
            <w:shd w:val="clear" w:color="auto" w:fill="auto"/>
            <w:tcMar>
              <w:left w:w="287" w:type="dxa"/>
              <w:right w:w="72" w:type="dxa"/>
            </w:tcMar>
            <w:vAlign w:val="cente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31.12.2019 - 0.032 МЛН ЧЕЛ</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31.12.2020 - 0.048 МЛН ЧЕЛ</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31.12.2021 - 0.072 МЛН ЧЕЛ</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31.12.2022 - 0.088 МЛН ЧЕЛ</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31.12.2023 - 0.112 МЛН ЧЕЛ</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31.12.2024 - 0.136 МЛН ЧЕЛ</w:t>
            </w: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6305" w:type="dxa"/>
            <w:gridSpan w:val="1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151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7021" w:type="dxa"/>
            <w:gridSpan w:val="13"/>
            <w:vMerge/>
            <w:tcBorders>
              <w:left w:val="single" w:sz="5" w:space="0" w:color="000000"/>
              <w:bottom w:val="single" w:sz="5" w:space="0" w:color="000000"/>
              <w:right w:val="single" w:sz="5" w:space="0" w:color="000000"/>
            </w:tcBorders>
            <w:shd w:val="clear" w:color="auto" w:fill="auto"/>
            <w:vAlign w:val="center"/>
          </w:tcPr>
          <w:p w:rsidR="001B2DA7" w:rsidRDefault="001B2DA7"/>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6305" w:type="dxa"/>
            <w:gridSpan w:val="1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429"/>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r>
      <w:tr w:rsidR="001B2DA7">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1B2DA7">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1B2DA7">
        <w:trPr>
          <w:trHeight w:hRule="exact" w:val="203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1B2DA7">
            <w:pPr>
              <w:spacing w:line="230" w:lineRule="auto"/>
              <w:jc w:val="center"/>
              <w:rPr>
                <w:rFonts w:ascii="Times New Roman" w:eastAsia="Times New Roman" w:hAnsi="Times New Roman" w:cs="Times New Roman"/>
                <w:color w:val="000000"/>
                <w:spacing w:val="-2"/>
                <w:sz w:val="24"/>
              </w:rPr>
            </w:pP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1B2DA7" w:rsidRDefault="001B2DA7">
            <w:pPr>
              <w:spacing w:line="230" w:lineRule="auto"/>
              <w:jc w:val="both"/>
              <w:rPr>
                <w:rFonts w:ascii="Times New Roman" w:eastAsia="Times New Roman" w:hAnsi="Times New Roman" w:cs="Times New Roman"/>
                <w:color w:val="000000"/>
                <w:spacing w:val="-2"/>
                <w:sz w:val="24"/>
              </w:rPr>
            </w:pP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1B2DA7">
            <w:pPr>
              <w:spacing w:line="230" w:lineRule="auto"/>
              <w:jc w:val="center"/>
              <w:rPr>
                <w:rFonts w:ascii="Times New Roman" w:eastAsia="Times New Roman" w:hAnsi="Times New Roman" w:cs="Times New Roman"/>
                <w:color w:val="000000"/>
                <w:spacing w:val="-2"/>
                <w:sz w:val="24"/>
              </w:rPr>
            </w:pP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индивидуального учебного плана для участников уроков, в том числе представителями отраслей производственной сферы, общественности, реального сектора экономики, ведущих университетов, включая студентов - получателей грантов Президента Российской Федерации.</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Реализация мероприятий будет осуществляться в том числе на базе предпрофильных классов.</w:t>
            </w:r>
          </w:p>
          <w:p w:rsidR="001B2DA7" w:rsidRDefault="001B2DA7"/>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1B2DA7">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1B2DA7">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1B2DA7">
        <w:trPr>
          <w:trHeight w:hRule="exact" w:val="28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4902" w:type="dxa"/>
            <w:gridSpan w:val="31"/>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Результат федерального проекта (справочно из паспорта федерального проекта): Не менее 900 тыс. детей получили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с учетом реализации проекта "Билет в будущее"</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Характеристика результата федерального проекта (справочно из паспорта федерального проекта): Создана и функционирует система мер ранней профориентации, которая обеспечивает ознакомление обучающихся 6-11 классов с современными профессиями, позволяет определить профессиональные интересы детей, получить рекомендации по построению индивидуального учебного плана. </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Система основывается на реализации дополнительных общеобразовательных программ, включающих в себя механизмы профессиональных проб и работу с лучшими представителями профессий, а также использования цифровых инструментов (сводное электронное портфолио).</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За счет средств федерального бюджета реализуются мероприятия в рамках реализации проекта по ранней профессиональной ориентации учащихся 6 - 11 классов общеобразовательных организаций "Билет в будущее", с охватом обучающихся 6-11 классов (нарастающим итогом с 2018 года):</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2019 год - не менее 200 тыс. детей;</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2020 год - не менее 300 тыс. детей;</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2021 год - не менее 400 тыс. детей; </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2022 год - не менее 550 тыс. детей;</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2023 год - не менее 700 тыс. детей;</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2024 год - не менее 900 тыс. детей.</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Одновременно субъектами Российской Федерации и образовательными организациями могут самостоятельно быть инициированы и реализованы аналогичные проекты, направленные на расширение возможностей для построения индивидуальных образовательных траекторий обучающихся по основным и дополнительным общеобразовательным программам. Реализация мероприятий будет осуществляться в том числе на базе предпрофильных классов.</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Срок (справочно из паспорта федерального проекта): 31.12.2024</w:t>
            </w:r>
          </w:p>
          <w:p w:rsidR="001B2DA7" w:rsidRDefault="001B2DA7"/>
        </w:tc>
      </w:tr>
      <w:tr w:rsidR="001B2DA7">
        <w:trPr>
          <w:trHeight w:hRule="exact" w:val="285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902" w:type="dxa"/>
            <w:gridSpan w:val="31"/>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1662"/>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2.1</w:t>
            </w:r>
          </w:p>
        </w:tc>
        <w:tc>
          <w:tcPr>
            <w:tcW w:w="7021" w:type="dxa"/>
            <w:gridSpan w:val="13"/>
            <w:tcBorders>
              <w:top w:val="single" w:sz="5" w:space="0" w:color="000000"/>
              <w:left w:val="single" w:sz="5" w:space="0" w:color="000000"/>
              <w:right w:val="single" w:sz="5" w:space="0" w:color="000000"/>
            </w:tcBorders>
            <w:shd w:val="clear" w:color="auto" w:fill="auto"/>
            <w:tcMar>
              <w:left w:w="72" w:type="dxa"/>
              <w:right w:w="72" w:type="dxa"/>
            </w:tcMa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Не менее 900 тыс. детей получили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с учетом реализации проекта "Билет в будущее"</w:t>
            </w:r>
          </w:p>
        </w:tc>
        <w:tc>
          <w:tcPr>
            <w:tcW w:w="157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6305" w:type="dxa"/>
            <w:gridSpan w:val="1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Создана и функционирует система мер ранней профориентации, которая обеспечивает ознакомление обучающихся 6-11 классов с современными профессиями, позволяет определить профессиональные интересы детей, получить рекомендации по построению индивидуального учебного плана. </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Система основывается на реализации дополнительных общеобразовательных программ, включающих в себя механизмы профессиональных проб и работу с лучшими представителями профессий, а также использования цифровых инструментов (сводное электронное портфолио).</w:t>
            </w:r>
          </w:p>
          <w:p w:rsidR="001B2DA7" w:rsidRDefault="001B2DA7">
            <w:pPr>
              <w:spacing w:line="230" w:lineRule="auto"/>
              <w:rPr>
                <w:rFonts w:ascii="Times New Roman" w:eastAsia="Times New Roman" w:hAnsi="Times New Roman" w:cs="Times New Roman"/>
                <w:color w:val="000000"/>
                <w:spacing w:val="-2"/>
                <w:sz w:val="24"/>
              </w:rPr>
            </w:pPr>
          </w:p>
          <w:p w:rsidR="001B2DA7" w:rsidRDefault="001B2DA7"/>
        </w:tc>
      </w:tr>
      <w:tr w:rsidR="001B2DA7">
        <w:trPr>
          <w:trHeight w:hRule="exact" w:val="161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7021" w:type="dxa"/>
            <w:gridSpan w:val="13"/>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31.12.2019 - 2.4 ТЫС ЧЕЛ</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31.12.2020 - 3.6 ТЫС ЧЕЛ</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31.12.2021 - 4.8 ТЫС ЧЕЛ</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31.12.2022 - 6.6 ТЫС ЧЕЛ</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31.12.2023 - 8.4 ТЫС ЧЕЛ</w:t>
            </w: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6305" w:type="dxa"/>
            <w:gridSpan w:val="1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429"/>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r>
      <w:tr w:rsidR="001B2DA7">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1B2DA7">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1B2DA7">
        <w:trPr>
          <w:trHeight w:hRule="exact" w:val="273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1B2DA7">
            <w:pPr>
              <w:spacing w:line="230" w:lineRule="auto"/>
              <w:jc w:val="center"/>
              <w:rPr>
                <w:rFonts w:ascii="Times New Roman" w:eastAsia="Times New Roman" w:hAnsi="Times New Roman" w:cs="Times New Roman"/>
                <w:color w:val="000000"/>
                <w:spacing w:val="-2"/>
                <w:sz w:val="24"/>
              </w:rPr>
            </w:pPr>
          </w:p>
        </w:tc>
        <w:tc>
          <w:tcPr>
            <w:tcW w:w="7021" w:type="dxa"/>
            <w:gridSpan w:val="13"/>
            <w:vMerge w:val="restart"/>
            <w:tcBorders>
              <w:top w:val="single" w:sz="5" w:space="0" w:color="000000"/>
              <w:left w:val="single" w:sz="5" w:space="0" w:color="000000"/>
              <w:bottom w:val="single" w:sz="5" w:space="0" w:color="000000"/>
              <w:right w:val="single" w:sz="5" w:space="0" w:color="000000"/>
            </w:tcBorders>
            <w:shd w:val="clear" w:color="auto" w:fill="auto"/>
            <w:tcMar>
              <w:left w:w="287" w:type="dxa"/>
              <w:right w:w="72" w:type="dxa"/>
            </w:tcMar>
            <w:vAlign w:val="cente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31.12.2024 - 10.8 ТЫС ЧЕЛ</w:t>
            </w:r>
          </w:p>
        </w:tc>
        <w:tc>
          <w:tcPr>
            <w:tcW w:w="157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1B2DA7">
            <w:pPr>
              <w:spacing w:line="230" w:lineRule="auto"/>
              <w:jc w:val="center"/>
              <w:rPr>
                <w:rFonts w:ascii="Times New Roman" w:eastAsia="Times New Roman" w:hAnsi="Times New Roman" w:cs="Times New Roman"/>
                <w:color w:val="000000"/>
                <w:spacing w:val="-2"/>
                <w:sz w:val="24"/>
              </w:rPr>
            </w:pPr>
          </w:p>
        </w:tc>
        <w:tc>
          <w:tcPr>
            <w:tcW w:w="6305" w:type="dxa"/>
            <w:gridSpan w:val="1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За счет средств федерального бюджета реализуются мероприятия в рамках реализации проекта по ранней профессиональной ориентации учащихся 6 - 11 классов общеобразовательных организаций "Билет в будущее", с охватом обучающихся 6-11 классов (нарастающим итогом с 2018 года):</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2019 год - не менее 200 тыс. детей;</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2020 год - не менее 300 тыс. детей;</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2021 год - не менее 400 тыс. детей; </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2022 год - не менее 550 тыс. детей;</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2023 год - не менее 700 тыс. детей;</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2024 год - не менее 900 тыс. детей.</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Одновременно субъектами Российской Федерации и образовательными организациями могут самостоятельно быть инициированы и реализованы аналогичные проекты, направленные на расширение возможностей для построения индивидуальных образовательных траекторий обучающихся по основным и дополнительным общеобразовательным программам. Реализация мероприятий будет осуществляться в том числе на базе предпрофильных классов.</w:t>
            </w:r>
          </w:p>
          <w:p w:rsidR="001B2DA7" w:rsidRDefault="001B2DA7"/>
        </w:tc>
      </w:tr>
      <w:tr w:rsidR="001B2DA7">
        <w:trPr>
          <w:trHeight w:hRule="exact" w:val="272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7021" w:type="dxa"/>
            <w:gridSpan w:val="1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6305" w:type="dxa"/>
            <w:gridSpan w:val="1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r>
      <w:tr w:rsidR="001B2DA7">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1B2DA7">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1B2DA7">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4902" w:type="dxa"/>
            <w:gridSpan w:val="31"/>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Результат федерального проекта (справочно из паспорта федерального проекта): Для 935 тыс. детей в не менее чем в 7000 общеобразовательных организаций, расположенных в сельской местности, обновлена материально-техническая база для занятий физической культурой и спортом </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Характеристика результата федерального проекта (справочно из паспорта федерального проекта): Проведен отбор субъектов Российской Федерации на предоставление субсидий из федерального бюджета на обновление материально-технической базы (закупка средств обучения и услуг по приведению в нормативное состояние помещений спортивных залов) в общеобразовательных организациях, расположенных в сельской местности, с учетом существующего регионального опыта определения уровня оснащения материально-технической базы общеобразовательных организаций, расположенных в сельской местности и поселках городского типа, для реализации программ по предмету "Физическая культура". </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Реализация мероприятий обновлению материально-технической базы в общеобразовательных организациях, расположенных в сельской местности, проводится по следующим направлениям: ремонт спортивных залов, перепрофилирование имеющихся аудиторий под спортивные залы для занятия физической культурой и спортом, развитие школьных спортивных клубов, оснащение спортивным инвентарем и </w:t>
            </w:r>
            <w:r>
              <w:rPr>
                <w:rFonts w:ascii="Times New Roman" w:eastAsia="Times New Roman" w:hAnsi="Times New Roman" w:cs="Times New Roman"/>
                <w:spacing w:val="-2"/>
                <w:sz w:val="24"/>
                <w:szCs w:val="24"/>
              </w:rPr>
              <w:lastRenderedPageBreak/>
              <w:t>оборудованием открытых плоскостных спортивных сооружений.</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К 2024 году на обновленной материально-технической базе в не менее чем 7000 общеобразовательных организациях не менее 935 тыс. детей (нарастающим итогом к 2018 году) обучаются по обновленным программам по предмету "Физическая культура", а также дополнительным общеобразовательным программам, реализуемым во внеурочное время.</w:t>
            </w:r>
          </w:p>
          <w:p w:rsidR="001B2DA7" w:rsidRDefault="001B2DA7">
            <w:pPr>
              <w:spacing w:line="230" w:lineRule="auto"/>
              <w:jc w:val="both"/>
              <w:rPr>
                <w:rFonts w:ascii="Times New Roman" w:eastAsia="Times New Roman" w:hAnsi="Times New Roman" w:cs="Times New Roman"/>
                <w:color w:val="000000"/>
                <w:spacing w:val="-2"/>
                <w:sz w:val="24"/>
              </w:rPr>
            </w:pPr>
          </w:p>
          <w:p w:rsidR="001B2DA7" w:rsidRDefault="001B2DA7">
            <w:pPr>
              <w:spacing w:line="230" w:lineRule="auto"/>
              <w:jc w:val="both"/>
              <w:rPr>
                <w:rFonts w:ascii="Times New Roman" w:eastAsia="Times New Roman" w:hAnsi="Times New Roman" w:cs="Times New Roman"/>
                <w:color w:val="000000"/>
                <w:spacing w:val="-2"/>
                <w:sz w:val="24"/>
              </w:rPr>
            </w:pP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Значение количества организаций, в которых обновлена материально-техническая база для занятий физической культурой и спортом, подлежит ежегодному уточнению по итогам проведения отборов на предоставление субсидии из федерального бюджета бюджетам субъектов Российской Федерации на финансовое обеспечение соответствующих мероприятий.</w:t>
            </w:r>
          </w:p>
          <w:p w:rsidR="001B2DA7" w:rsidRDefault="001B2DA7">
            <w:pPr>
              <w:spacing w:line="230" w:lineRule="auto"/>
              <w:jc w:val="both"/>
              <w:rPr>
                <w:rFonts w:ascii="Times New Roman" w:eastAsia="Times New Roman" w:hAnsi="Times New Roman" w:cs="Times New Roman"/>
                <w:color w:val="000000"/>
                <w:spacing w:val="-2"/>
                <w:sz w:val="24"/>
              </w:rPr>
            </w:pPr>
          </w:p>
          <w:p w:rsidR="001B2DA7" w:rsidRDefault="001B2DA7">
            <w:pPr>
              <w:spacing w:line="184" w:lineRule="auto"/>
              <w:jc w:val="both"/>
              <w:rPr>
                <w:rFonts w:ascii="Times New Roman" w:eastAsia="Times New Roman" w:hAnsi="Times New Roman" w:cs="Times New Roman"/>
                <w:color w:val="000000"/>
                <w:spacing w:val="-2"/>
                <w:sz w:val="24"/>
              </w:rPr>
            </w:pP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Срок (справочно из паспорта федерального проекта): 31.12.2024</w:t>
            </w:r>
          </w:p>
          <w:p w:rsidR="001B2DA7" w:rsidRDefault="001B2DA7"/>
        </w:tc>
      </w:tr>
      <w:tr w:rsidR="001B2DA7">
        <w:trPr>
          <w:trHeight w:hRule="exact" w:val="150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902" w:type="dxa"/>
            <w:gridSpan w:val="31"/>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1505"/>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902" w:type="dxa"/>
            <w:gridSpan w:val="31"/>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429"/>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w:t>
            </w:r>
          </w:p>
        </w:tc>
      </w:tr>
      <w:tr w:rsidR="001B2DA7">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1B2DA7">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1B2DA7">
        <w:trPr>
          <w:trHeight w:hRule="exact" w:val="137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w:t>
            </w:r>
          </w:p>
        </w:tc>
        <w:tc>
          <w:tcPr>
            <w:tcW w:w="7021" w:type="dxa"/>
            <w:gridSpan w:val="13"/>
            <w:tcBorders>
              <w:top w:val="single" w:sz="5" w:space="0" w:color="000000"/>
              <w:left w:val="single" w:sz="5" w:space="0" w:color="000000"/>
              <w:right w:val="single" w:sz="5" w:space="0" w:color="000000"/>
            </w:tcBorders>
            <w:shd w:val="clear" w:color="auto" w:fill="auto"/>
            <w:tcMar>
              <w:left w:w="72" w:type="dxa"/>
              <w:right w:w="72" w:type="dxa"/>
            </w:tcMa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Для 935 тыс. детей в не менее чем в 7000 общеобразовательных организаций, расположенных в сельской местности, обновлена материально-техническая база для занятий физической культурой и спортом </w:t>
            </w:r>
          </w:p>
        </w:tc>
        <w:tc>
          <w:tcPr>
            <w:tcW w:w="157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6305" w:type="dxa"/>
            <w:gridSpan w:val="1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Проведен отбор субъектов Российской Федерации на предоставление субсидий из федерального бюджета на обновление материально-технической базы (закупка средств обучения) в общеобразовательных организациях, расположенных в сельской местности, с учетом существующего регионального опыта определения уровня оснащения материально-технической базы общеобразовательных организаций, расположенных в сельской местности и поселках городского типа, для реализации программ по предмету "Физическая культура". </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Заключены соглашения с субъектами Российской Федерации на предоставление субсидии из федерального бюджета бюджетам субъектов Российской Федерации.</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Реализованы мероприятия обновлению материально-</w:t>
            </w:r>
            <w:r>
              <w:rPr>
                <w:rFonts w:ascii="Times New Roman" w:eastAsia="Times New Roman" w:hAnsi="Times New Roman" w:cs="Times New Roman"/>
                <w:spacing w:val="-2"/>
                <w:sz w:val="24"/>
                <w:szCs w:val="24"/>
              </w:rPr>
              <w:lastRenderedPageBreak/>
              <w:t xml:space="preserve">технической базы в общеобразовательных организациях, расположенных в сельской местности. </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К 2024 году на обновленной материально-технической базе в не менее чем 7000 общеобразовательных организациях не менее 935 тыс. детей (нарастающим итогом к 2018 году) обучаются по обновленным программам по предмету "Физическая культура", а также дополнительным общеобразовательным программам, реализуемым во внеурочное время.</w:t>
            </w:r>
          </w:p>
          <w:p w:rsidR="001B2DA7" w:rsidRDefault="001B2DA7"/>
        </w:tc>
      </w:tr>
      <w:tr w:rsidR="001B2DA7">
        <w:trPr>
          <w:trHeight w:hRule="exact" w:val="243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7021" w:type="dxa"/>
            <w:gridSpan w:val="13"/>
            <w:vMerge w:val="restart"/>
            <w:tcBorders>
              <w:left w:val="single" w:sz="5" w:space="0" w:color="000000"/>
              <w:bottom w:val="single" w:sz="5" w:space="0" w:color="000000"/>
              <w:right w:val="single" w:sz="5" w:space="0" w:color="000000"/>
            </w:tcBorders>
            <w:shd w:val="clear" w:color="auto" w:fill="auto"/>
            <w:tcMar>
              <w:left w:w="287" w:type="dxa"/>
              <w:right w:w="72" w:type="dxa"/>
            </w:tcMar>
            <w:vAlign w:val="cente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31.12.2019 - 14 ЕД</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31.12.2020 - 14 ЕД</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31.12.2021 - 14 ЕД</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31.12.2022 - 14 ЕД</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31.12.2023 - 14 ЕД</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31.12.2024 - 14 ЕД</w:t>
            </w: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6305" w:type="dxa"/>
            <w:gridSpan w:val="1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243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7021" w:type="dxa"/>
            <w:gridSpan w:val="13"/>
            <w:vMerge/>
            <w:tcBorders>
              <w:left w:val="single" w:sz="5" w:space="0" w:color="000000"/>
              <w:bottom w:val="single" w:sz="5" w:space="0" w:color="000000"/>
              <w:right w:val="single" w:sz="5" w:space="0" w:color="000000"/>
            </w:tcBorders>
            <w:shd w:val="clear" w:color="auto" w:fill="auto"/>
            <w:vAlign w:val="center"/>
          </w:tcPr>
          <w:p w:rsidR="001B2DA7" w:rsidRDefault="001B2DA7"/>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6305" w:type="dxa"/>
            <w:gridSpan w:val="1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11</w:t>
            </w:r>
          </w:p>
        </w:tc>
      </w:tr>
      <w:tr w:rsidR="001B2DA7">
        <w:trPr>
          <w:trHeight w:hRule="exact" w:val="42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1B2DA7">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1B2DA7">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4902" w:type="dxa"/>
            <w:gridSpan w:val="31"/>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Результат федерального проекта (справочно из паспорта федерального проекта): Созданы детские технопарки "Кванториум" </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Характеристика результата федерального проекта (справочно из паспорта федерального проекта): К 2024 году будут функционирует не менее 245 </w:t>
            </w:r>
            <w:r>
              <w:rPr>
                <w:rFonts w:ascii="Times New Roman" w:eastAsia="Times New Roman" w:hAnsi="Times New Roman" w:cs="Times New Roman"/>
                <w:i/>
                <w:spacing w:val="-2"/>
                <w:sz w:val="24"/>
                <w:szCs w:val="24"/>
              </w:rPr>
              <w:t>детских технопарков "Кванториум"</w:t>
            </w:r>
            <w:r>
              <w:rPr>
                <w:rFonts w:ascii="Times New Roman" w:eastAsia="Times New Roman" w:hAnsi="Times New Roman" w:cs="Times New Roman"/>
                <w:spacing w:val="-2"/>
                <w:sz w:val="24"/>
                <w:szCs w:val="24"/>
              </w:rPr>
              <w:t xml:space="preserve"> (нарастающим итогом к 2016 году), с охватом (вместе с охватом мобильными технопарками "Кванториум") не менее 2 млн. детей, участвующих в мероприятиях, реализуемых технопарками, и (или) осваивающих современные дополнительные общеобразовательные программы естественнонаучной и технической направленности, в том числе (нарастающим итогом к 2016 году):</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 2019 году - 385 тыс. детей;</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 2020 году - 550 тыс. детей;</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 2021 году - 800 тыс. детей;</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 2022 году - 950 тыс. детей;</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 2023 году - 1100 тыс. детей.</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Проведен отбор заявок субъектов Российской Федерации на предоставление субсидий из федерального бюджета на создание </w:t>
            </w:r>
            <w:r>
              <w:rPr>
                <w:rFonts w:ascii="Times New Roman" w:eastAsia="Times New Roman" w:hAnsi="Times New Roman" w:cs="Times New Roman"/>
                <w:i/>
                <w:spacing w:val="-2"/>
                <w:sz w:val="24"/>
                <w:szCs w:val="24"/>
              </w:rPr>
              <w:t>детских технопарков "Кванториум".</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Заключены соглашения с субъектами Российской Федерации на предоставление субсидии из федерального бюджета бюджетам субъектов Российской Федерации.</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Субъектами Российской Федерации реализованы мероприятия по созданию </w:t>
            </w:r>
            <w:r>
              <w:rPr>
                <w:rFonts w:ascii="Times New Roman" w:eastAsia="Times New Roman" w:hAnsi="Times New Roman" w:cs="Times New Roman"/>
                <w:i/>
                <w:spacing w:val="-2"/>
                <w:sz w:val="24"/>
                <w:szCs w:val="24"/>
              </w:rPr>
              <w:t>детских технопарков "Кванториум"</w:t>
            </w:r>
            <w:r>
              <w:rPr>
                <w:rFonts w:ascii="Times New Roman" w:eastAsia="Times New Roman" w:hAnsi="Times New Roman" w:cs="Times New Roman"/>
                <w:spacing w:val="-2"/>
                <w:sz w:val="24"/>
                <w:szCs w:val="24"/>
              </w:rPr>
              <w:t xml:space="preserve"> в соответствии с утвержденными Минпросвещения России методическими рекомендациями.  Одновременно субъектами Российской Федерации и образовательными организациями могут самостоятельно быть инициированы и реализованы аналогичные проекты, направленные на расширение возможностей для построения индивидуальных образовательных траекторий обучающихся по основным и дополнительным </w:t>
            </w:r>
            <w:r>
              <w:rPr>
                <w:rFonts w:ascii="Times New Roman" w:eastAsia="Times New Roman" w:hAnsi="Times New Roman" w:cs="Times New Roman"/>
                <w:spacing w:val="-2"/>
                <w:sz w:val="24"/>
                <w:szCs w:val="24"/>
              </w:rPr>
              <w:lastRenderedPageBreak/>
              <w:t>общеобразовательным программам.</w:t>
            </w:r>
          </w:p>
          <w:p w:rsidR="001B2DA7" w:rsidRDefault="001B2DA7">
            <w:pPr>
              <w:spacing w:line="230" w:lineRule="auto"/>
              <w:rPr>
                <w:rFonts w:ascii="Times New Roman" w:eastAsia="Times New Roman" w:hAnsi="Times New Roman" w:cs="Times New Roman"/>
                <w:color w:val="000000"/>
                <w:spacing w:val="-2"/>
                <w:sz w:val="24"/>
              </w:rPr>
            </w:pPr>
          </w:p>
          <w:p w:rsidR="001B2DA7" w:rsidRDefault="001B2DA7">
            <w:pPr>
              <w:spacing w:line="230" w:lineRule="auto"/>
              <w:rPr>
                <w:rFonts w:ascii="Times New Roman" w:eastAsia="Times New Roman" w:hAnsi="Times New Roman" w:cs="Times New Roman"/>
                <w:color w:val="000000"/>
                <w:spacing w:val="-2"/>
                <w:sz w:val="24"/>
              </w:rPr>
            </w:pP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Значение количества </w:t>
            </w:r>
            <w:r>
              <w:rPr>
                <w:rFonts w:ascii="Times New Roman" w:eastAsia="Times New Roman" w:hAnsi="Times New Roman" w:cs="Times New Roman"/>
                <w:i/>
                <w:spacing w:val="-2"/>
                <w:sz w:val="24"/>
                <w:szCs w:val="24"/>
              </w:rPr>
              <w:t>детских технопарков "Кванториум"</w:t>
            </w:r>
            <w:r>
              <w:rPr>
                <w:rFonts w:ascii="Times New Roman" w:eastAsia="Times New Roman" w:hAnsi="Times New Roman" w:cs="Times New Roman"/>
                <w:spacing w:val="-2"/>
                <w:sz w:val="24"/>
                <w:szCs w:val="24"/>
              </w:rPr>
              <w:t>  подлежит ежегодному уточнению по итогам проведения отборов на предоставление субсидии из федерального бюджета бюджетам субъектов Российской Федерации на финансовое обеспечение соответствующих мероприятий.</w:t>
            </w:r>
          </w:p>
          <w:p w:rsidR="001B2DA7" w:rsidRDefault="001B2DA7">
            <w:pPr>
              <w:spacing w:line="230" w:lineRule="auto"/>
              <w:rPr>
                <w:rFonts w:ascii="Times New Roman" w:eastAsia="Times New Roman" w:hAnsi="Times New Roman" w:cs="Times New Roman"/>
                <w:color w:val="000000"/>
                <w:spacing w:val="-2"/>
                <w:sz w:val="24"/>
              </w:rPr>
            </w:pPr>
          </w:p>
          <w:p w:rsidR="001B2DA7" w:rsidRDefault="001B2DA7">
            <w:pPr>
              <w:spacing w:line="184" w:lineRule="auto"/>
              <w:rPr>
                <w:rFonts w:ascii="Times New Roman" w:eastAsia="Times New Roman" w:hAnsi="Times New Roman" w:cs="Times New Roman"/>
                <w:color w:val="000000"/>
                <w:spacing w:val="-2"/>
                <w:sz w:val="24"/>
              </w:rPr>
            </w:pPr>
          </w:p>
          <w:p w:rsidR="001B2DA7" w:rsidRDefault="001B2DA7">
            <w:pPr>
              <w:spacing w:line="230" w:lineRule="auto"/>
              <w:rPr>
                <w:rFonts w:ascii="Times New Roman" w:eastAsia="Times New Roman" w:hAnsi="Times New Roman" w:cs="Times New Roman"/>
                <w:color w:val="000000"/>
                <w:spacing w:val="-2"/>
                <w:sz w:val="24"/>
              </w:rPr>
            </w:pP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Срок (справочно из паспорта федерального проекта): 31.12.2024</w:t>
            </w:r>
          </w:p>
          <w:p w:rsidR="001B2DA7" w:rsidRDefault="001B2DA7"/>
        </w:tc>
      </w:tr>
      <w:tr w:rsidR="001B2DA7">
        <w:trPr>
          <w:trHeight w:hRule="exact" w:val="229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902" w:type="dxa"/>
            <w:gridSpan w:val="31"/>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229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902" w:type="dxa"/>
            <w:gridSpan w:val="31"/>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85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4.1</w:t>
            </w:r>
          </w:p>
        </w:tc>
        <w:tc>
          <w:tcPr>
            <w:tcW w:w="7021" w:type="dxa"/>
            <w:gridSpan w:val="13"/>
            <w:tcBorders>
              <w:top w:val="single" w:sz="5" w:space="0" w:color="000000"/>
              <w:left w:val="single" w:sz="5" w:space="0" w:color="000000"/>
              <w:right w:val="single" w:sz="5" w:space="0" w:color="000000"/>
            </w:tcBorders>
            <w:shd w:val="clear" w:color="auto" w:fill="auto"/>
            <w:tcMar>
              <w:left w:w="72" w:type="dxa"/>
              <w:right w:w="72" w:type="dxa"/>
            </w:tcMa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Созданы детские технопарки "Кванториум" </w:t>
            </w:r>
          </w:p>
        </w:tc>
        <w:tc>
          <w:tcPr>
            <w:tcW w:w="157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6305" w:type="dxa"/>
            <w:gridSpan w:val="1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Проведен отбор заявок субъектов Российской Федерации на предоставление субсидий из федерального бюджета на создание </w:t>
            </w:r>
            <w:r>
              <w:rPr>
                <w:rFonts w:ascii="Times New Roman" w:eastAsia="Times New Roman" w:hAnsi="Times New Roman" w:cs="Times New Roman"/>
                <w:i/>
                <w:spacing w:val="-2"/>
                <w:sz w:val="24"/>
                <w:szCs w:val="24"/>
              </w:rPr>
              <w:t>детских технопарков "Кванториум".</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Заключены соглашения с субъектами Российской Федерации на предоставление субсидии из федерального бюджета </w:t>
            </w:r>
          </w:p>
          <w:p w:rsidR="001B2DA7" w:rsidRDefault="001B2DA7"/>
        </w:tc>
      </w:tr>
      <w:tr w:rsidR="001B2DA7">
        <w:trPr>
          <w:trHeight w:hRule="exact" w:val="688"/>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7021" w:type="dxa"/>
            <w:gridSpan w:val="13"/>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31.12.2019 - 1 ЕД</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31.12.2020 - 1 ЕД</w:t>
            </w: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6305" w:type="dxa"/>
            <w:gridSpan w:val="1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w:t>
            </w:r>
          </w:p>
        </w:tc>
      </w:tr>
      <w:tr w:rsidR="001B2DA7">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1B2DA7">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1B2DA7">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1B2DA7">
            <w:pPr>
              <w:spacing w:line="230" w:lineRule="auto"/>
              <w:jc w:val="center"/>
              <w:rPr>
                <w:rFonts w:ascii="Times New Roman" w:eastAsia="Times New Roman" w:hAnsi="Times New Roman" w:cs="Times New Roman"/>
                <w:color w:val="000000"/>
                <w:spacing w:val="-2"/>
                <w:sz w:val="24"/>
              </w:rPr>
            </w:pPr>
          </w:p>
        </w:tc>
        <w:tc>
          <w:tcPr>
            <w:tcW w:w="7021" w:type="dxa"/>
            <w:gridSpan w:val="13"/>
            <w:vMerge w:val="restart"/>
            <w:tcBorders>
              <w:top w:val="single" w:sz="5" w:space="0" w:color="000000"/>
              <w:left w:val="single" w:sz="5" w:space="0" w:color="000000"/>
              <w:bottom w:val="single" w:sz="5" w:space="0" w:color="000000"/>
              <w:right w:val="single" w:sz="5" w:space="0" w:color="000000"/>
            </w:tcBorders>
            <w:shd w:val="clear" w:color="auto" w:fill="auto"/>
            <w:tcMar>
              <w:left w:w="287" w:type="dxa"/>
              <w:right w:w="72" w:type="dxa"/>
            </w:tcMar>
            <w:vAlign w:val="cente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31.12.2021 - 1 ЕД</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31.12.2024 - 1 ЕД</w:t>
            </w:r>
          </w:p>
        </w:tc>
        <w:tc>
          <w:tcPr>
            <w:tcW w:w="157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1B2DA7">
            <w:pPr>
              <w:spacing w:line="230" w:lineRule="auto"/>
              <w:jc w:val="center"/>
              <w:rPr>
                <w:rFonts w:ascii="Times New Roman" w:eastAsia="Times New Roman" w:hAnsi="Times New Roman" w:cs="Times New Roman"/>
                <w:color w:val="000000"/>
                <w:spacing w:val="-2"/>
                <w:sz w:val="24"/>
              </w:rPr>
            </w:pPr>
          </w:p>
        </w:tc>
        <w:tc>
          <w:tcPr>
            <w:tcW w:w="6305" w:type="dxa"/>
            <w:gridSpan w:val="1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бюджетам субъектов Российской Федерации.Проведен отбор заявок субъектов Российской Федерации на предоставление субсидий из федерального бюджета на создание </w:t>
            </w:r>
            <w:r>
              <w:rPr>
                <w:rFonts w:ascii="Times New Roman" w:eastAsia="Times New Roman" w:hAnsi="Times New Roman" w:cs="Times New Roman"/>
                <w:i/>
                <w:spacing w:val="-2"/>
                <w:sz w:val="24"/>
                <w:szCs w:val="24"/>
              </w:rPr>
              <w:t>детских технопарков "Кванториум".</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Заключены соглашения с субъектами Российской Федерации на предоставление субсидии из федерального бюджета бюджетам субъектов Российской Федерации.</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Субъектами Российской Федерации реализованы мероприятия по созданию </w:t>
            </w:r>
            <w:r>
              <w:rPr>
                <w:rFonts w:ascii="Times New Roman" w:eastAsia="Times New Roman" w:hAnsi="Times New Roman" w:cs="Times New Roman"/>
                <w:i/>
                <w:spacing w:val="-2"/>
                <w:sz w:val="24"/>
                <w:szCs w:val="24"/>
              </w:rPr>
              <w:t>детских технопарков "Кванториум"</w:t>
            </w:r>
            <w:r>
              <w:rPr>
                <w:rFonts w:ascii="Times New Roman" w:eastAsia="Times New Roman" w:hAnsi="Times New Roman" w:cs="Times New Roman"/>
                <w:spacing w:val="-2"/>
                <w:sz w:val="24"/>
                <w:szCs w:val="24"/>
              </w:rPr>
              <w:t xml:space="preserve"> в соответствии с утвержденной </w:t>
            </w:r>
            <w:r>
              <w:rPr>
                <w:rFonts w:ascii="Times New Roman" w:eastAsia="Times New Roman" w:hAnsi="Times New Roman" w:cs="Times New Roman"/>
                <w:spacing w:val="-2"/>
                <w:sz w:val="24"/>
                <w:szCs w:val="24"/>
              </w:rPr>
              <w:lastRenderedPageBreak/>
              <w:t xml:space="preserve">Минпросвещения России целевой моделью. </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К 2024 году будут созданы не менее 210 </w:t>
            </w:r>
            <w:r>
              <w:rPr>
                <w:rFonts w:ascii="Times New Roman" w:eastAsia="Times New Roman" w:hAnsi="Times New Roman" w:cs="Times New Roman"/>
                <w:i/>
                <w:spacing w:val="-2"/>
                <w:sz w:val="24"/>
                <w:szCs w:val="24"/>
              </w:rPr>
              <w:t>детских технопарков "Кванториум"</w:t>
            </w:r>
            <w:r>
              <w:rPr>
                <w:rFonts w:ascii="Times New Roman" w:eastAsia="Times New Roman" w:hAnsi="Times New Roman" w:cs="Times New Roman"/>
                <w:spacing w:val="-2"/>
                <w:sz w:val="24"/>
                <w:szCs w:val="24"/>
              </w:rPr>
              <w:t xml:space="preserve"> (нарастающим итогом к 2016 году) и 250 </w:t>
            </w:r>
            <w:r>
              <w:rPr>
                <w:rFonts w:ascii="Times New Roman" w:eastAsia="Times New Roman" w:hAnsi="Times New Roman" w:cs="Times New Roman"/>
                <w:i/>
                <w:spacing w:val="-2"/>
                <w:sz w:val="24"/>
                <w:szCs w:val="24"/>
              </w:rPr>
              <w:t>мобильных технопарков "Кванториум"</w:t>
            </w:r>
            <w:r>
              <w:rPr>
                <w:rFonts w:ascii="Times New Roman" w:eastAsia="Times New Roman" w:hAnsi="Times New Roman" w:cs="Times New Roman"/>
                <w:spacing w:val="-2"/>
                <w:sz w:val="24"/>
                <w:szCs w:val="24"/>
              </w:rPr>
              <w:t xml:space="preserve"> (для детей, проживающих в сельской местности и малых городах), с охватом не менее 1,1 млн. детей, осваивающих современные дополнительные общеобразовательные программы естественнонаучной и технической направленности.</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Одновременно субъектами Российской Федерации и образовательными организациями могут самостоятельно быть инициированы и реализованы аналогичные проекты, направленные на расширение возможностей для построения индивидуальных образовательных траекторий обучающихся по основным и дополнительным общеобразовательным программам.</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Субъектами Российской Федерации реализованы мероприятия по созданию </w:t>
            </w:r>
            <w:r>
              <w:rPr>
                <w:rFonts w:ascii="Times New Roman" w:eastAsia="Times New Roman" w:hAnsi="Times New Roman" w:cs="Times New Roman"/>
                <w:i/>
                <w:spacing w:val="-2"/>
                <w:sz w:val="24"/>
                <w:szCs w:val="24"/>
              </w:rPr>
              <w:t>детских технопарков "Кванториум"</w:t>
            </w:r>
            <w:r>
              <w:rPr>
                <w:rFonts w:ascii="Times New Roman" w:eastAsia="Times New Roman" w:hAnsi="Times New Roman" w:cs="Times New Roman"/>
                <w:spacing w:val="-2"/>
                <w:sz w:val="24"/>
                <w:szCs w:val="24"/>
              </w:rPr>
              <w:t xml:space="preserve"> в соответствии с утвержденной Минпросвещения России целевой моделью. </w:t>
            </w:r>
          </w:p>
          <w:p w:rsidR="001B2DA7" w:rsidRDefault="001B2DA7">
            <w:pPr>
              <w:spacing w:line="230" w:lineRule="auto"/>
              <w:rPr>
                <w:rFonts w:ascii="Times New Roman" w:eastAsia="Times New Roman" w:hAnsi="Times New Roman" w:cs="Times New Roman"/>
                <w:color w:val="000000"/>
                <w:spacing w:val="-2"/>
                <w:sz w:val="24"/>
              </w:rPr>
            </w:pPr>
          </w:p>
          <w:p w:rsidR="001B2DA7" w:rsidRDefault="001B2DA7"/>
        </w:tc>
      </w:tr>
      <w:tr w:rsidR="001B2DA7">
        <w:trPr>
          <w:trHeight w:hRule="exact" w:val="262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7021" w:type="dxa"/>
            <w:gridSpan w:val="1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6305" w:type="dxa"/>
            <w:gridSpan w:val="1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2608"/>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7021" w:type="dxa"/>
            <w:gridSpan w:val="1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6305" w:type="dxa"/>
            <w:gridSpan w:val="1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429"/>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13</w:t>
            </w:r>
          </w:p>
        </w:tc>
      </w:tr>
      <w:tr w:rsidR="001B2DA7">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1B2DA7">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1B2DA7">
        <w:trPr>
          <w:trHeight w:hRule="exact" w:val="154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4902" w:type="dxa"/>
            <w:gridSpan w:val="31"/>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Результат федерального проекта (справочно из паспорта федерального проекта): Не менее 70% детей с ограниченными возможностями здоровья осваивают дополнительные общеобразовательные программы, в том числе с использованием дистанционных технологий</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Характеристика результата федерального проекта (справочно из паспорта федерального проекта): К 2024 году обеспечено доведение доли детей с ограниченными возможностями здоровья, охваченных программами дополнительного образования, в том числе с использованием дистанционных технологий, до 70% от общего числа детей указанной категории., Субъектами Российской Федерации (органами местного самоуправления) сформированы и реализуются мероприятия (в том числе в рамках региональных проектов) по поэтапному вовлечению детей с ограниченными возможностями здоровья в дополнительное образование, в том числе информационные кампании, разработка и обеспечение внедрения дистанционных образовательных программ, мероприятия по развитию инфраструктуры для детей с ОВЗ и другие.</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Организациями, реализующими дополнительные общеобразовательные программы, обеспечивается разработка и внедрение дополнительных общеобразовательных программ, в том числе с использованием дистанционных технологий, разработанных с учетом лучших практик.</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Срок (справочно из паспорта федерального проекта): 31.12.2024</w:t>
            </w:r>
          </w:p>
          <w:p w:rsidR="001B2DA7" w:rsidRDefault="001B2DA7"/>
        </w:tc>
      </w:tr>
      <w:tr w:rsidR="001B2DA7">
        <w:trPr>
          <w:trHeight w:hRule="exact" w:val="153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902" w:type="dxa"/>
            <w:gridSpan w:val="31"/>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1118"/>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5.1</w:t>
            </w:r>
          </w:p>
        </w:tc>
        <w:tc>
          <w:tcPr>
            <w:tcW w:w="7021" w:type="dxa"/>
            <w:gridSpan w:val="13"/>
            <w:tcBorders>
              <w:top w:val="single" w:sz="5" w:space="0" w:color="000000"/>
              <w:left w:val="single" w:sz="5" w:space="0" w:color="000000"/>
              <w:right w:val="single" w:sz="5" w:space="0" w:color="000000"/>
            </w:tcBorders>
            <w:shd w:val="clear" w:color="auto" w:fill="auto"/>
            <w:tcMar>
              <w:left w:w="72" w:type="dxa"/>
              <w:right w:w="72" w:type="dxa"/>
            </w:tcMa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Не менее 70% детей с ограниченными возможностями здоровья осваивают дополнительные общеобразовательные программы, в том числе с использованием дистанционных технологий</w:t>
            </w:r>
          </w:p>
        </w:tc>
        <w:tc>
          <w:tcPr>
            <w:tcW w:w="157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6305" w:type="dxa"/>
            <w:gridSpan w:val="1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К 2024 году обеспечено доведение доли детей с ограниченными возможностями здоровья, охваченных программами дополнительного образования, в том числе с использованием дистанционных технологий, до 70% от общего числа детей указанной категории., Субъектами Российской Федерации (органами местного самоуправления) сформированы и реализуются мероприятия (в том числе в рамках региональных проектов) по поэтапному вовлечению детей с ограниченными возможностями здоровья в дополнительное образование, в том числе информационные кампании, разработка и обеспечение внедрения дистанционных образовательных программ, мероприятия по развитию инфраструктуры для детей с ОВЗ и другие.</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Организациями, реализующими дополнительные общеобразовательные программы, обеспечивается разработка и внедрение дополнительных общеобразовательных программ, в том числе с использованием дистанционных технологий, разработанных с учетом лучших практик.</w:t>
            </w:r>
          </w:p>
          <w:p w:rsidR="001B2DA7" w:rsidRDefault="001B2DA7"/>
        </w:tc>
      </w:tr>
      <w:tr w:rsidR="001B2DA7">
        <w:trPr>
          <w:trHeight w:hRule="exact" w:val="190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7021" w:type="dxa"/>
            <w:gridSpan w:val="13"/>
            <w:vMerge w:val="restart"/>
            <w:tcBorders>
              <w:left w:val="single" w:sz="5" w:space="0" w:color="000000"/>
              <w:bottom w:val="single" w:sz="5" w:space="0" w:color="000000"/>
              <w:right w:val="single" w:sz="5" w:space="0" w:color="000000"/>
            </w:tcBorders>
            <w:shd w:val="clear" w:color="auto" w:fill="auto"/>
            <w:tcMar>
              <w:left w:w="287" w:type="dxa"/>
              <w:right w:w="72" w:type="dxa"/>
            </w:tcMar>
            <w:vAlign w:val="cente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31.12.2019 - 34 ПРОЦ</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31.12.2020 - 46 ПРОЦ</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31.12.2021 - 52 ПРОЦ</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31.12.2022 - 58 ПРОЦ</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31.12.2023 - 64 ПРОЦ</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31.12.2024 - 70 ПРОЦ</w:t>
            </w: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6305" w:type="dxa"/>
            <w:gridSpan w:val="1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1905"/>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7021" w:type="dxa"/>
            <w:gridSpan w:val="13"/>
            <w:vMerge/>
            <w:tcBorders>
              <w:left w:val="single" w:sz="5" w:space="0" w:color="000000"/>
              <w:bottom w:val="single" w:sz="5" w:space="0" w:color="000000"/>
              <w:right w:val="single" w:sz="5" w:space="0" w:color="000000"/>
            </w:tcBorders>
            <w:shd w:val="clear" w:color="auto" w:fill="auto"/>
            <w:vAlign w:val="center"/>
          </w:tcPr>
          <w:p w:rsidR="001B2DA7" w:rsidRDefault="001B2DA7"/>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6305" w:type="dxa"/>
            <w:gridSpan w:val="1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14</w:t>
            </w:r>
          </w:p>
        </w:tc>
      </w:tr>
      <w:tr w:rsidR="001B2DA7">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1B2DA7">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1B2DA7">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4902" w:type="dxa"/>
            <w:gridSpan w:val="31"/>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Результат федерального проекта (справочно из паспорта федерального проекта): Созданы ключевые центры дополнительного образования детей, реализующих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участвующих в создании научных и научно-образовательных центров мирового уровня или обеспечивающих деятельность центров компетенций Национальной технологической инициативы</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Характеристика результата федерального проекта (справочно из паспорта федерального проекта): Проведен отбор заявок субъектов Российской Федерации на создание центров, реализующих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участвующих в создании научных и научно-образовательных центров мирового уровня, международных математических центров, выполняющих исследования и разработки по актуальным направлениям развития математики с участием российских и зарубежных ведущих ученых, или обеспечивающих деятельность центров компетенций Национальной технологической инициативы (как структурных подразделений образовательной организации высшего образования, </w:t>
            </w:r>
            <w:r>
              <w:rPr>
                <w:rFonts w:ascii="Times New Roman" w:eastAsia="Times New Roman" w:hAnsi="Times New Roman" w:cs="Times New Roman"/>
                <w:spacing w:val="-2"/>
                <w:sz w:val="24"/>
                <w:szCs w:val="24"/>
              </w:rPr>
              <w:lastRenderedPageBreak/>
              <w:t xml:space="preserve">имеющей соответствующую лицензию на осуществление обучения по дополнительным общеобразовательным программам для детей). </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Заключены соглашения с субъектами Российской Федерации на предоставление субсидии из федерального бюджета бюджетам субъектов Российской Федерации.</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Субъектами Российской Федерации совместно с образовательными организациями высшего образования реализованы мероприятия по созданию центров в соответствии с методическими рекомендациями Минпросвещения России. </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Центры, используя возможности образовательных организаций высшего образования (кадровые, инфраструктурные, материально-технические), обеспечивают обучение детей по актуальным дополнительным общеобразовательным программам, в том числе в рамках решения кадровых задач Стратегии научно-технологического развития Российской Федерации. К реализации дополнительных общеобразовательных программ в таких центрах привлечены преподаватели и научные сотрудники образовательных организаций высшего образования. </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К концу 2024 года создано не менее 100 центров с охватом не менее 40 тыс. детей ежегодно.</w:t>
            </w:r>
          </w:p>
          <w:p w:rsidR="001B2DA7" w:rsidRDefault="001B2DA7">
            <w:pPr>
              <w:spacing w:line="230" w:lineRule="auto"/>
              <w:rPr>
                <w:rFonts w:ascii="Times New Roman" w:eastAsia="Times New Roman" w:hAnsi="Times New Roman" w:cs="Times New Roman"/>
                <w:color w:val="000000"/>
                <w:spacing w:val="-2"/>
                <w:sz w:val="24"/>
              </w:rPr>
            </w:pPr>
          </w:p>
          <w:p w:rsidR="001B2DA7" w:rsidRDefault="001B2DA7">
            <w:pPr>
              <w:spacing w:line="230" w:lineRule="auto"/>
              <w:rPr>
                <w:rFonts w:ascii="Times New Roman" w:eastAsia="Times New Roman" w:hAnsi="Times New Roman" w:cs="Times New Roman"/>
                <w:color w:val="000000"/>
                <w:spacing w:val="-2"/>
                <w:sz w:val="24"/>
              </w:rPr>
            </w:pP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Значение количества создаваемых центров, реализующих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участвующих в создании научных и научно-образовательных центров мирового уровня, международных математических центров, выполняющих исследования и разработки по актуальным направлениям развития математики с участием российских и зарубежных ведущих ученых, или обеспечивающих деятельность центров компетенций Национальной технологической инициативы, подлежит ежегодному уточнению по итогам проведения отборов на предоставление субсидии из федерального бюджета бюджетам субъектов Российской Федерации на финансовое обеспечение соответствующих мероприятий.</w:t>
            </w:r>
          </w:p>
          <w:p w:rsidR="001B2DA7" w:rsidRDefault="001B2DA7">
            <w:pPr>
              <w:spacing w:line="230" w:lineRule="auto"/>
              <w:rPr>
                <w:rFonts w:ascii="Times New Roman" w:eastAsia="Times New Roman" w:hAnsi="Times New Roman" w:cs="Times New Roman"/>
                <w:color w:val="000000"/>
                <w:spacing w:val="-2"/>
                <w:sz w:val="24"/>
              </w:rPr>
            </w:pPr>
          </w:p>
          <w:p w:rsidR="001B2DA7" w:rsidRDefault="001B2DA7">
            <w:pPr>
              <w:spacing w:line="184" w:lineRule="auto"/>
              <w:rPr>
                <w:rFonts w:ascii="Times New Roman" w:eastAsia="Times New Roman" w:hAnsi="Times New Roman" w:cs="Times New Roman"/>
                <w:color w:val="000000"/>
                <w:spacing w:val="-2"/>
                <w:sz w:val="24"/>
              </w:rPr>
            </w:pPr>
          </w:p>
          <w:p w:rsidR="001B2DA7" w:rsidRDefault="001B2DA7">
            <w:pPr>
              <w:spacing w:line="230" w:lineRule="auto"/>
              <w:rPr>
                <w:rFonts w:ascii="Times New Roman" w:eastAsia="Times New Roman" w:hAnsi="Times New Roman" w:cs="Times New Roman"/>
                <w:color w:val="000000"/>
                <w:spacing w:val="-2"/>
                <w:sz w:val="24"/>
              </w:rPr>
            </w:pP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Срок (справочно из паспорта федерального проекта): 31.12.2024</w:t>
            </w:r>
          </w:p>
          <w:p w:rsidR="001B2DA7" w:rsidRDefault="001B2DA7"/>
        </w:tc>
      </w:tr>
      <w:tr w:rsidR="001B2DA7">
        <w:trPr>
          <w:trHeight w:hRule="exact" w:val="286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902" w:type="dxa"/>
            <w:gridSpan w:val="31"/>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1518"/>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902" w:type="dxa"/>
            <w:gridSpan w:val="31"/>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151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902" w:type="dxa"/>
            <w:gridSpan w:val="31"/>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22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1B2DA7">
            <w:pPr>
              <w:spacing w:line="230" w:lineRule="auto"/>
              <w:jc w:val="center"/>
              <w:rPr>
                <w:rFonts w:ascii="Times New Roman" w:eastAsia="Times New Roman" w:hAnsi="Times New Roman" w:cs="Times New Roman"/>
                <w:color w:val="000000"/>
                <w:spacing w:val="-2"/>
                <w:sz w:val="24"/>
              </w:rPr>
            </w:pPr>
          </w:p>
        </w:tc>
        <w:tc>
          <w:tcPr>
            <w:tcW w:w="7021" w:type="dxa"/>
            <w:gridSpan w:val="13"/>
            <w:tcBorders>
              <w:top w:val="single" w:sz="5" w:space="0" w:color="000000"/>
              <w:left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both"/>
              <w:rPr>
                <w:rFonts w:ascii="Times New Roman" w:eastAsia="Times New Roman" w:hAnsi="Times New Roman" w:cs="Times New Roman"/>
                <w:color w:val="000000"/>
                <w:spacing w:val="-2"/>
                <w:sz w:val="24"/>
              </w:rPr>
            </w:pP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1B2DA7">
            <w:pPr>
              <w:spacing w:line="230" w:lineRule="auto"/>
              <w:jc w:val="center"/>
              <w:rPr>
                <w:rFonts w:ascii="Times New Roman" w:eastAsia="Times New Roman" w:hAnsi="Times New Roman" w:cs="Times New Roman"/>
                <w:color w:val="000000"/>
                <w:spacing w:val="-2"/>
                <w:sz w:val="24"/>
              </w:rPr>
            </w:pP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tc>
      </w:tr>
      <w:tr w:rsidR="001B2DA7">
        <w:trPr>
          <w:trHeight w:hRule="exact" w:val="430"/>
        </w:trPr>
        <w:tc>
          <w:tcPr>
            <w:tcW w:w="15618" w:type="dxa"/>
            <w:gridSpan w:val="33"/>
            <w:tcBorders>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w:t>
            </w:r>
          </w:p>
        </w:tc>
      </w:tr>
      <w:tr w:rsidR="001B2DA7">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1B2DA7">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1B2DA7">
        <w:trPr>
          <w:trHeight w:hRule="exact" w:val="197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w:t>
            </w:r>
          </w:p>
        </w:tc>
        <w:tc>
          <w:tcPr>
            <w:tcW w:w="7021" w:type="dxa"/>
            <w:gridSpan w:val="13"/>
            <w:tcBorders>
              <w:top w:val="single" w:sz="5" w:space="0" w:color="000000"/>
              <w:left w:val="single" w:sz="5" w:space="0" w:color="000000"/>
              <w:right w:val="single" w:sz="5" w:space="0" w:color="000000"/>
            </w:tcBorders>
            <w:shd w:val="clear" w:color="auto" w:fill="auto"/>
            <w:tcMar>
              <w:left w:w="72" w:type="dxa"/>
              <w:right w:w="72" w:type="dxa"/>
            </w:tcMa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Созданы ключевые центры дополнительного образования детей, реализующих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участвующих в создании научных и научно-образовательных центров мирового уровня или обеспечивающих деятельность центров компетенций Национальной технологической инициативы</w:t>
            </w:r>
          </w:p>
        </w:tc>
        <w:tc>
          <w:tcPr>
            <w:tcW w:w="157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6305" w:type="dxa"/>
            <w:gridSpan w:val="1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Проведен отбор заявок субъектов Российской Федерации на создание центров, реализующих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участвующих в создании научных и научно-образовательных центров мирового уровня, международных </w:t>
            </w:r>
            <w:r>
              <w:rPr>
                <w:rFonts w:ascii="Times New Roman" w:eastAsia="Times New Roman" w:hAnsi="Times New Roman" w:cs="Times New Roman"/>
                <w:spacing w:val="-2"/>
                <w:sz w:val="24"/>
                <w:szCs w:val="24"/>
              </w:rPr>
              <w:lastRenderedPageBreak/>
              <w:t xml:space="preserve">математических центров, выполняющих исследования и разработки по актуальным направлениям развития математики с участием российских и зарубежных ведущих ученых, или обеспечивающих деятельность центров компетенций Национальной технологической инициативы (как структурных подразделений образовательной организации высшего образования, имеющей соответствующую лицензию на осуществление обучения по дополнительным общеобразовательным программам для детей). </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Заключены соглашения с субъектами Российской Федерации на предоставление субсидии из федерального бюджета бюджетам субъектов Российской Федерации.</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Субъектами Российской Федерации совместно с образовательными организациями высшего образования реализованы мероприятия по созданию центров в соответствии с методическими рекомендациями Минпросвещения России. </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Центры, используя возможности образовательных организаций высшего образования (кадровые, инфраструктурные, материально-технические), обеспечивают обучение детей по актуальным дополнительным общеобразовательным программам, в том числе в рамках решения кадровых задач Стратегии научно-технологического развития Российской Федерации. К реализации дополнительных общеобразовательных программ </w:t>
            </w:r>
          </w:p>
          <w:p w:rsidR="001B2DA7" w:rsidRDefault="001B2DA7"/>
        </w:tc>
      </w:tr>
      <w:tr w:rsidR="001B2DA7">
        <w:trPr>
          <w:trHeight w:hRule="exact" w:val="2865"/>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7021" w:type="dxa"/>
            <w:gridSpan w:val="13"/>
            <w:vMerge w:val="restart"/>
            <w:tcBorders>
              <w:left w:val="single" w:sz="5" w:space="0" w:color="000000"/>
              <w:bottom w:val="single" w:sz="5" w:space="0" w:color="000000"/>
              <w:right w:val="single" w:sz="5" w:space="0" w:color="000000"/>
            </w:tcBorders>
            <w:shd w:val="clear" w:color="auto" w:fill="auto"/>
            <w:tcMar>
              <w:left w:w="287" w:type="dxa"/>
              <w:right w:w="72" w:type="dxa"/>
            </w:tcMar>
            <w:vAlign w:val="cente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31.12.2019 - 0 ЕД</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31.12.2020 - 0 ЕД</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31.12.2021 - 0 ЕД</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31.12.2022 - 0 ЕД</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31.12.2023 - 0 ЕД</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31.12.2024 - 0 ЕД</w:t>
            </w: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6305" w:type="dxa"/>
            <w:gridSpan w:val="1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2078"/>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7021" w:type="dxa"/>
            <w:gridSpan w:val="13"/>
            <w:vMerge/>
            <w:tcBorders>
              <w:left w:val="single" w:sz="5" w:space="0" w:color="000000"/>
              <w:bottom w:val="single" w:sz="5" w:space="0" w:color="000000"/>
              <w:right w:val="single" w:sz="5" w:space="0" w:color="000000"/>
            </w:tcBorders>
            <w:shd w:val="clear" w:color="auto" w:fill="auto"/>
            <w:vAlign w:val="center"/>
          </w:tcPr>
          <w:p w:rsidR="001B2DA7" w:rsidRDefault="001B2DA7"/>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6305" w:type="dxa"/>
            <w:gridSpan w:val="1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2078"/>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7021" w:type="dxa"/>
            <w:gridSpan w:val="13"/>
            <w:vMerge/>
            <w:tcBorders>
              <w:left w:val="single" w:sz="5" w:space="0" w:color="000000"/>
              <w:bottom w:val="single" w:sz="5" w:space="0" w:color="000000"/>
              <w:right w:val="single" w:sz="5" w:space="0" w:color="000000"/>
            </w:tcBorders>
            <w:shd w:val="clear" w:color="auto" w:fill="auto"/>
            <w:vAlign w:val="center"/>
          </w:tcPr>
          <w:p w:rsidR="001B2DA7" w:rsidRDefault="001B2DA7"/>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6305" w:type="dxa"/>
            <w:gridSpan w:val="1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429"/>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w:t>
            </w:r>
          </w:p>
        </w:tc>
      </w:tr>
      <w:tr w:rsidR="001B2DA7">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1B2DA7">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1B2DA7">
        <w:trPr>
          <w:trHeight w:hRule="exact" w:val="1762"/>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1B2DA7">
            <w:pPr>
              <w:spacing w:line="230" w:lineRule="auto"/>
              <w:jc w:val="center"/>
              <w:rPr>
                <w:rFonts w:ascii="Times New Roman" w:eastAsia="Times New Roman" w:hAnsi="Times New Roman" w:cs="Times New Roman"/>
                <w:color w:val="000000"/>
                <w:spacing w:val="-2"/>
                <w:sz w:val="24"/>
              </w:rPr>
            </w:pP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1B2DA7" w:rsidRDefault="001B2DA7">
            <w:pPr>
              <w:spacing w:line="230" w:lineRule="auto"/>
              <w:jc w:val="both"/>
              <w:rPr>
                <w:rFonts w:ascii="Times New Roman" w:eastAsia="Times New Roman" w:hAnsi="Times New Roman" w:cs="Times New Roman"/>
                <w:color w:val="000000"/>
                <w:spacing w:val="-2"/>
                <w:sz w:val="24"/>
              </w:rPr>
            </w:pP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1B2DA7">
            <w:pPr>
              <w:spacing w:line="230" w:lineRule="auto"/>
              <w:jc w:val="center"/>
              <w:rPr>
                <w:rFonts w:ascii="Times New Roman" w:eastAsia="Times New Roman" w:hAnsi="Times New Roman" w:cs="Times New Roman"/>
                <w:color w:val="000000"/>
                <w:spacing w:val="-2"/>
                <w:sz w:val="24"/>
              </w:rPr>
            </w:pP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в таких центрах привлечены преподаватели и научные сотрудники образовательных организаций высшего образования. </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К концу 2024 года создано не менее 100 центров с охватом не менее 40 тыс. детей ежегодно.</w:t>
            </w:r>
          </w:p>
          <w:p w:rsidR="001B2DA7" w:rsidRDefault="001B2DA7">
            <w:pPr>
              <w:spacing w:line="230" w:lineRule="auto"/>
              <w:rPr>
                <w:rFonts w:ascii="Times New Roman" w:eastAsia="Times New Roman" w:hAnsi="Times New Roman" w:cs="Times New Roman"/>
                <w:color w:val="000000"/>
                <w:spacing w:val="-2"/>
                <w:sz w:val="24"/>
              </w:rPr>
            </w:pPr>
          </w:p>
          <w:p w:rsidR="001B2DA7" w:rsidRDefault="001B2DA7">
            <w:pPr>
              <w:spacing w:line="230" w:lineRule="auto"/>
              <w:rPr>
                <w:rFonts w:ascii="Times New Roman" w:eastAsia="Times New Roman" w:hAnsi="Times New Roman" w:cs="Times New Roman"/>
                <w:color w:val="000000"/>
                <w:spacing w:val="-2"/>
                <w:sz w:val="24"/>
              </w:rPr>
            </w:pPr>
          </w:p>
          <w:p w:rsidR="001B2DA7" w:rsidRDefault="001B2DA7"/>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17</w:t>
            </w:r>
          </w:p>
        </w:tc>
      </w:tr>
      <w:tr w:rsidR="001B2DA7">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1B2DA7">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1B2DA7">
        <w:trPr>
          <w:trHeight w:hRule="exact" w:val="259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14902" w:type="dxa"/>
            <w:gridSpan w:val="31"/>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Результат федерального проекта (справочно из паспорта федерального проекта): Оказана поддержка организациям на реализацию пилотных проектов по обновлению содержания и технологий дополнительного образования по приоритетным направлениям, в том числе поддержаны проекты по организации летних школ, организованных российскими образовательными организациями, с участием не менее 18 тыс. детей и представителей молодежи из числа иностранных граждан</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Характеристика результата федерального проекта (справочно из паспорта федерального проекта): Проведен отбор организаций, осуществляющих деятельность в сфере развития дополнительного образования детей, на </w:t>
            </w:r>
            <w:r>
              <w:rPr>
                <w:rFonts w:ascii="Times New Roman" w:eastAsia="Times New Roman" w:hAnsi="Times New Roman" w:cs="Times New Roman"/>
                <w:color w:val="22272F"/>
                <w:spacing w:val="-2"/>
                <w:sz w:val="24"/>
                <w:szCs w:val="24"/>
              </w:rPr>
              <w:t>реализацию пилотных проектов по обновлению содержания и технологий дополнительного образования по приоритетным направлениям, в том числе в целях поддержки</w:t>
            </w:r>
            <w:r>
              <w:rPr>
                <w:rFonts w:ascii="Times New Roman" w:eastAsia="Times New Roman" w:hAnsi="Times New Roman" w:cs="Times New Roman"/>
                <w:spacing w:val="-2"/>
                <w:sz w:val="24"/>
                <w:szCs w:val="24"/>
              </w:rPr>
              <w:t> проведения летних школ с участием детей и представителей молодежи из числа иностранных граждан, организованных российскими образовательными организациями с целью формирования у обучающихся навыков и компетенций, в том числе практических, соответствующих тематикам проведения летних школ.</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Летние школы проводятся с целью поддержки инициативной и талантливой молодежи, создания особой социокультурной среды, сообществ обучающихся, их проведение обеспечит продвижение лучших российских образовательных проектов в мировом сообществе, а также создаст благоприятные условия для повышения уровня глобальной конкурентоспособности российского образования.</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Организация и проведение летних школ обеспечит вовлечение детей и молодежи из числа иностранных граждан, в том числе:</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 2020 году - 2 тыс. человек;</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 2021 году - 5 тыс. человек;</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 2022 году - 8 тыс. человек;</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 2023 году - 12 тыс. человек;</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 2024 году - 18 тыс. человек.</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Срок (справочно из паспорта федерального проекта): 31.12.2024</w:t>
            </w:r>
          </w:p>
          <w:p w:rsidR="001B2DA7" w:rsidRDefault="001B2DA7"/>
        </w:tc>
      </w:tr>
      <w:tr w:rsidR="001B2DA7">
        <w:trPr>
          <w:trHeight w:hRule="exact" w:val="259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902" w:type="dxa"/>
            <w:gridSpan w:val="31"/>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220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7.1</w:t>
            </w:r>
          </w:p>
        </w:tc>
        <w:tc>
          <w:tcPr>
            <w:tcW w:w="7021" w:type="dxa"/>
            <w:gridSpan w:val="13"/>
            <w:tcBorders>
              <w:top w:val="single" w:sz="5" w:space="0" w:color="000000"/>
              <w:left w:val="single" w:sz="5" w:space="0" w:color="000000"/>
              <w:right w:val="single" w:sz="5" w:space="0" w:color="000000"/>
            </w:tcBorders>
            <w:shd w:val="clear" w:color="auto" w:fill="auto"/>
            <w:tcMar>
              <w:left w:w="72" w:type="dxa"/>
              <w:right w:w="72" w:type="dxa"/>
            </w:tcMa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Оказана поддержка организациям на реализацию пилотных проектов по обновлению содержания и технологий дополнительного образования по приоритетным направлениям, в том числе поддержаны проекты по организации летних школ, организованных российскими образовательными организациями, с участием не менее 18 тыс. детей и представителей молодежи из числа иностранных граждан</w:t>
            </w:r>
          </w:p>
        </w:tc>
        <w:tc>
          <w:tcPr>
            <w:tcW w:w="157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6305" w:type="dxa"/>
            <w:gridSpan w:val="1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Проведен отбор субъектов Российской Федерации на проведение летних школ с участием детей и представителей молодежи из числа иностранных граждан, организованных российскими образовательными организациями с целью формирования у обучающихся навыков и компетенций, в том числе практических, соответствующих тематикам проведения летних школ.</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Летние школы проводятся с целью поддержки инициативной и талантливой молодежи, создания особой социокультурной среды, сообществ обучающихся, их проведение обеспечит продвижение лучших российских образовательных проектов в мировом сообществе, а также создаст благоприятные условия для повышения уровня глобальной </w:t>
            </w:r>
          </w:p>
          <w:p w:rsidR="001B2DA7" w:rsidRDefault="001B2DA7"/>
        </w:tc>
      </w:tr>
      <w:tr w:rsidR="001B2DA7">
        <w:trPr>
          <w:trHeight w:hRule="exact" w:val="160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7021" w:type="dxa"/>
            <w:gridSpan w:val="13"/>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31.12.2020 - 0.03 ТЫС ЧЕЛ</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31.12.2021 - 0.06 ТЫС ЧЕЛ</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31.12.2022 - 0.09 ТЫС ЧЕЛ</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31.12.2023 - 0.12 ТЫС ЧЕЛ</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31.12.2024 - 0.15 ТЫС ЧЕЛ</w:t>
            </w: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6305" w:type="dxa"/>
            <w:gridSpan w:val="1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18</w:t>
            </w:r>
          </w:p>
        </w:tc>
      </w:tr>
      <w:tr w:rsidR="001B2DA7">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1B2DA7">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1B2DA7">
        <w:trPr>
          <w:trHeight w:hRule="exact" w:val="255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1B2DA7">
            <w:pPr>
              <w:spacing w:line="230" w:lineRule="auto"/>
              <w:jc w:val="center"/>
              <w:rPr>
                <w:rFonts w:ascii="Times New Roman" w:eastAsia="Times New Roman" w:hAnsi="Times New Roman" w:cs="Times New Roman"/>
                <w:color w:val="000000"/>
                <w:spacing w:val="-2"/>
                <w:sz w:val="24"/>
              </w:rPr>
            </w:pP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1B2DA7" w:rsidRDefault="001B2DA7">
            <w:pPr>
              <w:spacing w:line="230" w:lineRule="auto"/>
              <w:jc w:val="both"/>
              <w:rPr>
                <w:rFonts w:ascii="Times New Roman" w:eastAsia="Times New Roman" w:hAnsi="Times New Roman" w:cs="Times New Roman"/>
                <w:color w:val="000000"/>
                <w:spacing w:val="-2"/>
                <w:sz w:val="24"/>
              </w:rPr>
            </w:pP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1B2DA7">
            <w:pPr>
              <w:spacing w:line="230" w:lineRule="auto"/>
              <w:jc w:val="center"/>
              <w:rPr>
                <w:rFonts w:ascii="Times New Roman" w:eastAsia="Times New Roman" w:hAnsi="Times New Roman" w:cs="Times New Roman"/>
                <w:color w:val="000000"/>
                <w:spacing w:val="-2"/>
                <w:sz w:val="24"/>
              </w:rPr>
            </w:pP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конкурентоспособности российского образования.</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Организация и проведение летних школ обеспечит вовлечение детей и молодежи из числа иностранных граждан, в том числе:</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 2020 году - 2 тыс. человек;</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 2021 году - 5 тыс. человек;</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 2022 году - 8 тыс. человек;</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 2023 году - 12 тыс. человек;</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 2024 году - 18 тыс. человек.</w:t>
            </w:r>
          </w:p>
          <w:p w:rsidR="001B2DA7" w:rsidRDefault="001B2DA7"/>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19</w:t>
            </w:r>
          </w:p>
        </w:tc>
      </w:tr>
      <w:tr w:rsidR="001B2DA7">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1B2DA7">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1B2DA7">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14902" w:type="dxa"/>
            <w:gridSpan w:val="31"/>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Результат федерального проекта (справочно из паспорта федерального проекта): Во всех субъектах Российской Федерации внедрена целевая модель развития региональных систем дополнительного образования детей</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Характеристика результата федерального проекта (справочно из паспорта федерального проекта): В соответствии с поручением президиума Совета при Президенте Российской Федерации по стратегическому развитию и приоритетным проектам (п. 2 протокола от 29 марта 2018 г. № 3) на основе лучших практик субъектов Российской Федерации сформирована целевая модель региональной системы дополнительного образования.</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К концу 2021 года основные положения целевой модели развития региональных систем дополнительного образования детей внедрены во всех субъектах Российской Федерации, в том числе за счет финансовой поддержки из федерального бюджета и внебюджетных источников субъектам Российской Федерации до 2024 года, с учетом специфики территорий и позволит создать нормативно-правовые, организационные и методические условия для развития системы дополнительного образования детей в целях достижения показателей федерального проекта.</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Реализация целевой модели предусматривает внедрение механизмов адресной поддержки отдельных категорий детей, в том числе оказавшихся в трудной жизненной ситуации, для получения доступного дополнительного образования и реализации талантов детей из малообеспеченных семей, а также проведение мониторинга доступности дополнительного образования с учетом индивидуальных потребностей и особенностей детей различных категорий (в том числе талантливых детей, детей с ограниченными возможностями здоровья, детей, проживающих в сельской местности, детей из семей, находящихся в трудной жизненной ситуации, детей из малоимущих семей).</w:t>
            </w:r>
          </w:p>
          <w:p w:rsidR="001B2DA7" w:rsidRDefault="001B2DA7">
            <w:pPr>
              <w:spacing w:line="230" w:lineRule="auto"/>
              <w:rPr>
                <w:rFonts w:ascii="Times New Roman" w:eastAsia="Times New Roman" w:hAnsi="Times New Roman" w:cs="Times New Roman"/>
                <w:color w:val="000000"/>
                <w:spacing w:val="-2"/>
                <w:sz w:val="24"/>
              </w:rPr>
            </w:pP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lastRenderedPageBreak/>
              <w:t>Значение динамики числа субъектов Российской Федерации, внедривших целевую модель региональной системы дополнительного образования, подлежит ежегодному уточнению по итогам проведения отборов на предоставление субсидии из федерального бюджета бюджетам субъектов Российской Федерации на финансовое обеспечение соответствующих мероприятий.</w:t>
            </w:r>
          </w:p>
          <w:p w:rsidR="001B2DA7" w:rsidRDefault="001B2DA7">
            <w:pPr>
              <w:spacing w:line="230" w:lineRule="auto"/>
              <w:rPr>
                <w:rFonts w:ascii="Times New Roman" w:eastAsia="Times New Roman" w:hAnsi="Times New Roman" w:cs="Times New Roman"/>
                <w:color w:val="000000"/>
                <w:spacing w:val="-2"/>
                <w:sz w:val="24"/>
              </w:rPr>
            </w:pPr>
          </w:p>
          <w:p w:rsidR="001B2DA7" w:rsidRDefault="001B2DA7">
            <w:pPr>
              <w:spacing w:line="184" w:lineRule="auto"/>
              <w:rPr>
                <w:rFonts w:ascii="Times New Roman" w:eastAsia="Times New Roman" w:hAnsi="Times New Roman" w:cs="Times New Roman"/>
                <w:color w:val="000000"/>
                <w:spacing w:val="-2"/>
                <w:sz w:val="24"/>
              </w:rPr>
            </w:pPr>
          </w:p>
          <w:p w:rsidR="001B2DA7" w:rsidRDefault="001B2DA7">
            <w:pPr>
              <w:spacing w:line="230" w:lineRule="auto"/>
              <w:rPr>
                <w:rFonts w:ascii="Times New Roman" w:eastAsia="Times New Roman" w:hAnsi="Times New Roman" w:cs="Times New Roman"/>
                <w:color w:val="000000"/>
                <w:spacing w:val="-2"/>
                <w:sz w:val="24"/>
              </w:rPr>
            </w:pP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Срок (справочно из паспорта федерального проекта): 31.12.2024</w:t>
            </w:r>
          </w:p>
          <w:p w:rsidR="001B2DA7" w:rsidRDefault="001B2DA7"/>
        </w:tc>
      </w:tr>
      <w:tr w:rsidR="001B2DA7">
        <w:trPr>
          <w:trHeight w:hRule="exact" w:val="150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902" w:type="dxa"/>
            <w:gridSpan w:val="31"/>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1505"/>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902" w:type="dxa"/>
            <w:gridSpan w:val="31"/>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85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8.1</w:t>
            </w:r>
          </w:p>
        </w:tc>
        <w:tc>
          <w:tcPr>
            <w:tcW w:w="7021" w:type="dxa"/>
            <w:gridSpan w:val="13"/>
            <w:tcBorders>
              <w:top w:val="single" w:sz="5" w:space="0" w:color="000000"/>
              <w:left w:val="single" w:sz="5" w:space="0" w:color="000000"/>
              <w:right w:val="single" w:sz="5" w:space="0" w:color="000000"/>
            </w:tcBorders>
            <w:shd w:val="clear" w:color="auto" w:fill="auto"/>
            <w:tcMar>
              <w:left w:w="72" w:type="dxa"/>
              <w:right w:w="72" w:type="dxa"/>
            </w:tcMa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Во всех субъектах Российской Федерации внедрена целевая модель развития региональных систем дополнительного образования детей</w:t>
            </w:r>
          </w:p>
        </w:tc>
        <w:tc>
          <w:tcPr>
            <w:tcW w:w="157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6305" w:type="dxa"/>
            <w:gridSpan w:val="1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 соответствии с поручением президиума Совета при Президенте Российской Федерации по стратегическому развитию и приоритетным проектам (п. 2 протокола от 29 марта 2018 г. № 3) на основе лучших практик субъектов Российской Федерации сформирована целевая модель региональной системы дополнительного образования.</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К концу 2021 года целевая модель развития региональных систем дополнительного образования детей внедрена во всех субъектах Российской Федерации, в том числе за счет софинансирования из федерального бюджета и внебюджетных источников, с учетом специфики территорий </w:t>
            </w:r>
          </w:p>
          <w:p w:rsidR="001B2DA7" w:rsidRDefault="001B2DA7"/>
        </w:tc>
      </w:tr>
      <w:tr w:rsidR="001B2DA7">
        <w:trPr>
          <w:trHeight w:hRule="exact" w:val="226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7021" w:type="dxa"/>
            <w:gridSpan w:val="13"/>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31.12.2019 - 1 ДОКУМ</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31.12.2020 - 1 ДОКУМ</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31.12.2021 - 1 ДОКУМ</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31.12.2022 - 1 ДОКУМ</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31.12.2023 - 1 ДОКУМ</w:t>
            </w:r>
          </w:p>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31.12.2024 - 1 ДОКУМ</w:t>
            </w: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6305" w:type="dxa"/>
            <w:gridSpan w:val="1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w:t>
            </w:r>
          </w:p>
        </w:tc>
      </w:tr>
      <w:tr w:rsidR="001B2DA7">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1B2DA7">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1B2DA7">
        <w:trPr>
          <w:trHeight w:hRule="exact" w:val="220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1B2DA7">
            <w:pPr>
              <w:spacing w:line="230" w:lineRule="auto"/>
              <w:jc w:val="center"/>
              <w:rPr>
                <w:rFonts w:ascii="Times New Roman" w:eastAsia="Times New Roman" w:hAnsi="Times New Roman" w:cs="Times New Roman"/>
                <w:color w:val="000000"/>
                <w:spacing w:val="-2"/>
                <w:sz w:val="24"/>
              </w:rPr>
            </w:pPr>
          </w:p>
        </w:tc>
        <w:tc>
          <w:tcPr>
            <w:tcW w:w="7021" w:type="dxa"/>
            <w:gridSpan w:val="13"/>
            <w:vMerge w:val="restart"/>
            <w:tcBorders>
              <w:top w:val="single" w:sz="5" w:space="0" w:color="000000"/>
              <w:left w:val="single" w:sz="5" w:space="0" w:color="000000"/>
              <w:bottom w:val="single" w:sz="5" w:space="0" w:color="000000"/>
              <w:right w:val="single" w:sz="5" w:space="0" w:color="000000"/>
            </w:tcBorders>
            <w:shd w:val="clear" w:color="auto" w:fill="auto"/>
            <w:tcMar>
              <w:left w:w="287" w:type="dxa"/>
              <w:right w:w="72" w:type="dxa"/>
            </w:tcMar>
            <w:vAlign w:val="center"/>
          </w:tcPr>
          <w:p w:rsidR="001B2DA7" w:rsidRDefault="001B2DA7">
            <w:pPr>
              <w:spacing w:line="230" w:lineRule="auto"/>
              <w:jc w:val="both"/>
              <w:rPr>
                <w:rFonts w:ascii="Times New Roman" w:eastAsia="Times New Roman" w:hAnsi="Times New Roman" w:cs="Times New Roman"/>
                <w:color w:val="000000"/>
                <w:spacing w:val="-2"/>
                <w:sz w:val="24"/>
              </w:rPr>
            </w:pPr>
          </w:p>
        </w:tc>
        <w:tc>
          <w:tcPr>
            <w:tcW w:w="157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1B2DA7">
            <w:pPr>
              <w:spacing w:line="230" w:lineRule="auto"/>
              <w:jc w:val="center"/>
              <w:rPr>
                <w:rFonts w:ascii="Times New Roman" w:eastAsia="Times New Roman" w:hAnsi="Times New Roman" w:cs="Times New Roman"/>
                <w:color w:val="000000"/>
                <w:spacing w:val="-2"/>
                <w:sz w:val="24"/>
              </w:rPr>
            </w:pPr>
          </w:p>
        </w:tc>
        <w:tc>
          <w:tcPr>
            <w:tcW w:w="6305" w:type="dxa"/>
            <w:gridSpan w:val="1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и позволит создать нормативно-правовые, организационные и методические условия для развития системы дополнительного образования детей в целях достижения показателей федерального проекта. </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Реализация целевой модели предусматривает внедрение механизмов адресной поддержки отдельных категорий детей, в том числе оказавшихся в трудной жизненной ситуации, для получения доступного дополнительного образования и реализации талантов детей из малообеспеченных семей, а также проведение мониторинга доступности дополнительного образования с учетом индивидуальных потребностей и особенностей детей различных категорий (в том числе талантливых детей, детей с ограниченными возможностями здоровья, детей, проживающих в сельской местности, детей из семей, находящихся в трудной жизненной ситуации, детей из малоимущих семей).</w:t>
            </w:r>
          </w:p>
          <w:p w:rsidR="001B2DA7" w:rsidRDefault="001B2DA7"/>
        </w:tc>
      </w:tr>
      <w:tr w:rsidR="001B2DA7">
        <w:trPr>
          <w:trHeight w:hRule="exact" w:val="219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7021" w:type="dxa"/>
            <w:gridSpan w:val="1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6305" w:type="dxa"/>
            <w:gridSpan w:val="1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21</w:t>
            </w:r>
          </w:p>
        </w:tc>
      </w:tr>
      <w:tr w:rsidR="001B2DA7">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1B2DA7">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1B2DA7">
        <w:trPr>
          <w:trHeight w:hRule="exact" w:val="180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c>
          <w:tcPr>
            <w:tcW w:w="14902" w:type="dxa"/>
            <w:gridSpan w:val="31"/>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Результат федерального проекта (справочно из паспорта федерального проекта): Разработаны и внедрены методические рекомендации по механизмам вовлечения общественно-деловых объединений и участия представителей работодателей в принятии решений по вопросам управления развитием образовательной организации, в том числе в обновлении образовательных программ</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Характеристика результата федерального проекта (справочно из паспорта федерального проекта): Внедрение к концу 2020 года методических рекомендаций по механизмам вовлечения общественно-деловых объединений и участия представителей работодателей в принятии решений по вопросам управления развитием образовательной организации дополнительного образования детей на основе созданной целевой модели вовлечения общественно-деловых объединений и представителей работодателей в управление развитием образовательными организациями, в том числе через представительство в коллегиальных органах управления и посредством участия в обновлении образовательных программ, позволит:</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расширить практику участия представителей общественно-делового сообщества и работодателей, в том числе реального сектора экономики, в управлении деятельностью образовательных организаций;</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повысить эффективность управления образовательными организациями, в том числе в части финансово-экономического управления, а также контроля качества образовательной деятельности.</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Срок (справочно из паспорта федерального проекта): 31.12.2020</w:t>
            </w:r>
          </w:p>
          <w:p w:rsidR="001B2DA7" w:rsidRDefault="001B2DA7"/>
        </w:tc>
      </w:tr>
      <w:tr w:rsidR="001B2DA7">
        <w:trPr>
          <w:trHeight w:hRule="exact" w:val="1805"/>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902" w:type="dxa"/>
            <w:gridSpan w:val="31"/>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1662"/>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w:t>
            </w:r>
          </w:p>
        </w:tc>
        <w:tc>
          <w:tcPr>
            <w:tcW w:w="7021" w:type="dxa"/>
            <w:gridSpan w:val="13"/>
            <w:tcBorders>
              <w:top w:val="single" w:sz="5" w:space="0" w:color="000000"/>
              <w:left w:val="single" w:sz="5" w:space="0" w:color="000000"/>
              <w:right w:val="single" w:sz="5" w:space="0" w:color="000000"/>
            </w:tcBorders>
            <w:shd w:val="clear" w:color="auto" w:fill="auto"/>
            <w:tcMar>
              <w:left w:w="72" w:type="dxa"/>
              <w:right w:w="72" w:type="dxa"/>
            </w:tcMa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Разработаны и внедрены методические рекомендации по механизмам вовлечения общественно-деловых объединений и участия представителей работодателей в принятии решений по вопросам управления развитием образовательной организации, в том числе в обновлении образовательных программ</w:t>
            </w:r>
          </w:p>
        </w:tc>
        <w:tc>
          <w:tcPr>
            <w:tcW w:w="157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6305" w:type="dxa"/>
            <w:gridSpan w:val="1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Разработка и внедрение к концу 2020 года методических рекомендаций по механизмам вовлечения общественно-деловых объединений и участия представителей работодателей в принятии решений по вопросам управления развитием образовательной организации позволит:</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расширить практику участия представителей общественно-делового сообщества и работодателей, в том числе реального сектора экономики, в управлении деятельностью образовательных организаций;</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повысить эффективность управления образовательными организациями, в том числе в части финансово-экономического управления, а также контроля качества образовательной деятельности.</w:t>
            </w:r>
          </w:p>
          <w:p w:rsidR="001B2DA7" w:rsidRDefault="001B2DA7"/>
        </w:tc>
      </w:tr>
      <w:tr w:rsidR="001B2DA7">
        <w:trPr>
          <w:trHeight w:hRule="exact" w:val="194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7021" w:type="dxa"/>
            <w:gridSpan w:val="13"/>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31.12.2020 - 1 ДОКУМ</w:t>
            </w: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6305" w:type="dxa"/>
            <w:gridSpan w:val="1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22</w:t>
            </w:r>
          </w:p>
        </w:tc>
      </w:tr>
      <w:tr w:rsidR="001B2DA7">
        <w:trPr>
          <w:trHeight w:hRule="exact" w:val="42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1B2DA7">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1B2DA7">
        <w:trPr>
          <w:trHeight w:hRule="exact" w:val="2292"/>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10</w:t>
            </w:r>
          </w:p>
        </w:tc>
        <w:tc>
          <w:tcPr>
            <w:tcW w:w="14902" w:type="dxa"/>
            <w:gridSpan w:val="31"/>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Результат федерального проекта (справочно из паспорта федерального проекта): Не менее чем 70% обучающихся организаций, осуществляющих образовательную деятельность по дополнительным общеобразовательным программам, вовлечены в различные формы наставничества</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Характеристика результата федерального проекта (справочно из паспорта федерального проекта): Вовлечение к концу 2024 года не менее 70% обучающихся организаций, осуществляющих образовательную деятельность по дополнительным общеобразовательным программам, в различные формы наставничества позволит создать условия для формирования активной гражданской позиции у каждого обучающегося, а также достичь целевых установок национального проекта "Образование" в части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Срок (справочно из паспорта федерального проекта): 31.12.2024</w:t>
            </w:r>
          </w:p>
          <w:p w:rsidR="001B2DA7" w:rsidRDefault="001B2DA7"/>
        </w:tc>
      </w:tr>
      <w:tr w:rsidR="001B2DA7">
        <w:trPr>
          <w:trHeight w:hRule="exact" w:val="139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10.1</w:t>
            </w:r>
          </w:p>
        </w:tc>
        <w:tc>
          <w:tcPr>
            <w:tcW w:w="7021" w:type="dxa"/>
            <w:gridSpan w:val="13"/>
            <w:tcBorders>
              <w:top w:val="single" w:sz="5" w:space="0" w:color="000000"/>
              <w:left w:val="single" w:sz="5" w:space="0" w:color="000000"/>
              <w:right w:val="single" w:sz="5" w:space="0" w:color="000000"/>
            </w:tcBorders>
            <w:shd w:val="clear" w:color="auto" w:fill="auto"/>
            <w:tcMar>
              <w:left w:w="72" w:type="dxa"/>
              <w:right w:w="72" w:type="dxa"/>
            </w:tcMa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Не менее чем 70% обучающихся организаций, осуществляющих образовательную деятельность по дополнительным общеобразовательным программам, вовлечены в различные формы наставничества</w:t>
            </w:r>
          </w:p>
        </w:tc>
        <w:tc>
          <w:tcPr>
            <w:tcW w:w="157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6305" w:type="dxa"/>
            <w:gridSpan w:val="1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Вовлечение к концу 2024 года не менее 70% обучающихся организаций, осуществляющих образовательную деятельность по дополнительным общеобразовательным программам, в различные формы наставничества позволит создать условия для формирования активной гражданской позиции у каждого обучающегося, а также достичь целевых установок национального проекта "Образование" в части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1B2DA7" w:rsidRDefault="001B2DA7"/>
        </w:tc>
      </w:tr>
      <w:tr w:rsidR="001B2DA7">
        <w:trPr>
          <w:trHeight w:hRule="exact" w:val="16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7021" w:type="dxa"/>
            <w:gridSpan w:val="13"/>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31.12.2024 - 70 ПРОЦ</w:t>
            </w: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6305" w:type="dxa"/>
            <w:gridSpan w:val="1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23</w:t>
            </w:r>
          </w:p>
        </w:tc>
      </w:tr>
      <w:tr w:rsidR="001B2DA7">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1B2DA7">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1B2DA7">
        <w:trPr>
          <w:trHeight w:hRule="exact" w:val="180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w:t>
            </w:r>
          </w:p>
        </w:tc>
        <w:tc>
          <w:tcPr>
            <w:tcW w:w="14902" w:type="dxa"/>
            <w:gridSpan w:val="31"/>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Результат федерального проекта (справочно из паспорта федерального проекта): К 2024 году обучающимся 5-11 классов предоставлены возможности освоения основных общеобразовательных программ по индивидуальному учебному плану, в том числе в сетевой форме, с зачетом результатов освоения ими дополнительных общеобразовательных программ и программ профессионального обучения</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Характеристика результата федерального проекта (справочно из паспорта федерального проекта): Внесены изменения в нормативно-правую базу с целью предоставления возможностей зачета результатов освоения обучающимися дополнительных общеобразовательных программ и программ профессионального обучения в рамках основных общеобразовательных программ. </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Перечень нормативно-правовых актов, подлежащих изменению, определяется на начальном этапе реализации проекта.</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Освоение основных общеобразовательных программ по индивидуальному учебному плану, в том числе в сетевой форме, с зачетом результатов освоения дополнительных общеобразовательных программ и программ профессионального обучения, в том числе с использованием дистанционных технологий, позволит к концу 2024 года создать для обучающихся 5-11 классов эффективные и "гибкие" механизмы освоения указанных программ, которые обеспечат оптимизацию учебного времени обучающихся, высвободив его для мероприятий по саморазвитию и профессиональному самоопределению.</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Срок (справочно из паспорта федерального проекта): 31.12.2024</w:t>
            </w:r>
          </w:p>
          <w:p w:rsidR="001B2DA7" w:rsidRDefault="001B2DA7"/>
        </w:tc>
      </w:tr>
      <w:tr w:rsidR="001B2DA7">
        <w:trPr>
          <w:trHeight w:hRule="exact" w:val="1805"/>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902" w:type="dxa"/>
            <w:gridSpan w:val="31"/>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193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11.1</w:t>
            </w:r>
          </w:p>
        </w:tc>
        <w:tc>
          <w:tcPr>
            <w:tcW w:w="7021" w:type="dxa"/>
            <w:gridSpan w:val="13"/>
            <w:tcBorders>
              <w:top w:val="single" w:sz="5" w:space="0" w:color="000000"/>
              <w:left w:val="single" w:sz="5" w:space="0" w:color="000000"/>
              <w:right w:val="single" w:sz="5" w:space="0" w:color="000000"/>
            </w:tcBorders>
            <w:shd w:val="clear" w:color="auto" w:fill="auto"/>
            <w:tcMar>
              <w:left w:w="72" w:type="dxa"/>
              <w:right w:w="72" w:type="dxa"/>
            </w:tcMa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 2024 году обучающимся 5-11 классов предоставлены возможности освоения основных общеобразовательных программ по индивидуальному учебному плану, в том числе в сетевой форме, с зачетом результатов освоения ими дополнительных общеобразовательных программ и программ профессионального обучения</w:t>
            </w:r>
          </w:p>
        </w:tc>
        <w:tc>
          <w:tcPr>
            <w:tcW w:w="157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6305" w:type="dxa"/>
            <w:gridSpan w:val="1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Внесены изменения в нормативно-правую базу с целью предоставления возможностей зачета результатов освоения обучающимися дополнительных общеобразовательных программ и программ профессионального обучения в рамках основных общеобразовательных программ. </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Перечень нормативно-правовых актов, подлежащих изменению, определяется на начальном этапе реализации проекта.</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Освоение основных общеобразовательных программ по индивидуальному учебному плану, в том числе в сетевой форме, с зачетом результатов освоения дополнительных общеобразовательных программ и программ профессионального обучения, в том числе с использованием дистанционных технологий, позволит к концу 2024 года создать для обучающихся 5-11 классов эффективные и "гибкие" механизмы освоения указанных программ, которые обеспечат оптимизацию учебного времени обучающихся, высвободив его для мероприятий по саморазвитию и профессиональному самоопределению.</w:t>
            </w:r>
          </w:p>
          <w:p w:rsidR="001B2DA7" w:rsidRDefault="001B2DA7"/>
        </w:tc>
      </w:tr>
      <w:tr w:rsidR="001B2DA7">
        <w:trPr>
          <w:trHeight w:hRule="exact" w:val="163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7021" w:type="dxa"/>
            <w:gridSpan w:val="13"/>
            <w:vMerge w:val="restart"/>
            <w:tcBorders>
              <w:left w:val="single" w:sz="5" w:space="0" w:color="000000"/>
              <w:bottom w:val="single" w:sz="5" w:space="0" w:color="000000"/>
              <w:right w:val="single" w:sz="5" w:space="0" w:color="000000"/>
            </w:tcBorders>
            <w:shd w:val="clear" w:color="auto" w:fill="auto"/>
            <w:tcMar>
              <w:left w:w="287" w:type="dxa"/>
              <w:right w:w="72" w:type="dxa"/>
            </w:tcMar>
            <w:vAlign w:val="cente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31.12.2024 - 1 ДОКУМ</w:t>
            </w: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6305" w:type="dxa"/>
            <w:gridSpan w:val="1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161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7021" w:type="dxa"/>
            <w:gridSpan w:val="13"/>
            <w:vMerge/>
            <w:tcBorders>
              <w:left w:val="single" w:sz="5" w:space="0" w:color="000000"/>
              <w:bottom w:val="single" w:sz="5" w:space="0" w:color="000000"/>
              <w:right w:val="single" w:sz="5" w:space="0" w:color="000000"/>
            </w:tcBorders>
            <w:shd w:val="clear" w:color="auto" w:fill="auto"/>
            <w:vAlign w:val="center"/>
          </w:tcPr>
          <w:p w:rsidR="001B2DA7" w:rsidRDefault="001B2DA7"/>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6305" w:type="dxa"/>
            <w:gridSpan w:val="1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429"/>
        </w:trPr>
        <w:tc>
          <w:tcPr>
            <w:tcW w:w="15618" w:type="dxa"/>
            <w:gridSpan w:val="33"/>
            <w:tcBorders>
              <w:top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24</w:t>
            </w:r>
          </w:p>
        </w:tc>
      </w:tr>
      <w:tr w:rsidR="001B2DA7">
        <w:trPr>
          <w:trHeight w:hRule="exact" w:val="144"/>
        </w:trPr>
        <w:tc>
          <w:tcPr>
            <w:tcW w:w="860" w:type="dxa"/>
            <w:gridSpan w:val="3"/>
            <w:shd w:val="clear" w:color="auto" w:fill="auto"/>
          </w:tcPr>
          <w:p w:rsidR="001B2DA7" w:rsidRDefault="00A15B55">
            <w:pPr>
              <w:spacing w:line="230" w:lineRule="auto"/>
              <w:rPr>
                <w:rFonts w:ascii="Arial" w:eastAsia="Arial" w:hAnsi="Arial" w:cs="Arial"/>
                <w:spacing w:val="-2"/>
                <w:sz w:val="16"/>
              </w:rPr>
            </w:pPr>
            <w:r>
              <w:rPr>
                <w:rFonts w:ascii="Arial" w:eastAsia="Arial" w:hAnsi="Arial" w:cs="Arial"/>
                <w:spacing w:val="-2"/>
                <w:sz w:val="16"/>
              </w:rPr>
              <w:t>0</w:t>
            </w:r>
          </w:p>
        </w:tc>
        <w:tc>
          <w:tcPr>
            <w:tcW w:w="14758" w:type="dxa"/>
            <w:gridSpan w:val="30"/>
            <w:shd w:val="clear" w:color="auto" w:fill="auto"/>
            <w:vAlign w:val="center"/>
          </w:tcPr>
          <w:p w:rsidR="001B2DA7" w:rsidRDefault="001B2DA7"/>
        </w:tc>
      </w:tr>
      <w:tr w:rsidR="001B2DA7">
        <w:trPr>
          <w:trHeight w:hRule="exact" w:val="430"/>
        </w:trPr>
        <w:tc>
          <w:tcPr>
            <w:tcW w:w="15618" w:type="dxa"/>
            <w:gridSpan w:val="33"/>
            <w:tcBorders>
              <w:bottom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spacing w:val="-2"/>
                <w:sz w:val="28"/>
                <w:szCs w:val="28"/>
              </w:rPr>
              <w:t>4. Финансовое обеспечение реализации регионального проекта</w:t>
            </w:r>
          </w:p>
          <w:p w:rsidR="001B2DA7" w:rsidRDefault="001B2DA7"/>
        </w:tc>
      </w:tr>
      <w:tr w:rsidR="001B2DA7">
        <w:trPr>
          <w:trHeight w:hRule="exact" w:val="429"/>
        </w:trPr>
        <w:tc>
          <w:tcPr>
            <w:tcW w:w="100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4442"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и источники финансирования</w:t>
            </w:r>
          </w:p>
        </w:tc>
        <w:tc>
          <w:tcPr>
            <w:tcW w:w="8596" w:type="dxa"/>
            <w:gridSpan w:val="2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Объем финансового обеспечения по годам реализации (млн. рублей)</w:t>
            </w:r>
          </w:p>
        </w:tc>
        <w:tc>
          <w:tcPr>
            <w:tcW w:w="1577" w:type="dxa"/>
            <w:gridSpan w:val="3"/>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Всего</w:t>
            </w:r>
          </w:p>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(млн. рублей)</w:t>
            </w:r>
          </w:p>
        </w:tc>
      </w:tr>
      <w:tr w:rsidR="001B2DA7">
        <w:trPr>
          <w:trHeight w:hRule="exact" w:val="287"/>
        </w:trPr>
        <w:tc>
          <w:tcPr>
            <w:tcW w:w="100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4442"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2019</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2021</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2022</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2023</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2024</w:t>
            </w:r>
          </w:p>
        </w:tc>
        <w:tc>
          <w:tcPr>
            <w:tcW w:w="1577"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r>
      <w:tr w:rsidR="001B2DA7">
        <w:trPr>
          <w:trHeight w:hRule="exact" w:val="28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r>
      <w:tr w:rsidR="001B2DA7">
        <w:trPr>
          <w:trHeight w:hRule="exact" w:val="71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1</w:t>
            </w:r>
          </w:p>
          <w:p w:rsidR="001B2DA7" w:rsidRDefault="001B2DA7"/>
        </w:tc>
        <w:tc>
          <w:tcPr>
            <w:tcW w:w="14615" w:type="dxa"/>
            <w:gridSpan w:val="2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Результат федерального проекта (справочно из паспорта федерального проекта): Не менее чем 12 млн. детей приняли участие в открытых онлайн-уроках, реализуемых с учетом опыта цикла открытых уроков "Проектория", направленных на раннюю профориентацию</w:t>
            </w:r>
            <w:r>
              <w:rPr>
                <w:rFonts w:ascii="Times New Roman" w:eastAsia="Times New Roman" w:hAnsi="Times New Roman" w:cs="Times New Roman"/>
                <w:color w:val="FFFFFF"/>
                <w:spacing w:val="-2"/>
                <w:sz w:val="24"/>
                <w:szCs w:val="24"/>
              </w:rPr>
              <w:t>0</w:t>
            </w:r>
          </w:p>
          <w:p w:rsidR="001B2DA7" w:rsidRDefault="001B2DA7"/>
        </w:tc>
      </w:tr>
      <w:tr w:rsidR="001B2DA7">
        <w:trPr>
          <w:trHeight w:hRule="exact" w:val="1762"/>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Не менее чем 12 млн. детей приняли участие в открытых онлайн-уроках, реализуемых с учетом опыта цикла открытых уроков "Проектория", направленных на раннюю профориентацию</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71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1.1.1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Федеральный бюджет (в т.ч. межбюджетные трансферы бюджету)</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124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1.1.2</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бюджеты государственных внебюджетных фондов Российской Федерации и их территориальных фондов</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71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1.1.3</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консолидированный бюджет субъекта Российской Федерации, в т.ч.</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4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1.1.3.1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 субъекта Российской Федерации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97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1.1.3.2</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межбюджетные трансферты бюджета субъекта Российской Федерации бюджетам муниципальных образований</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124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1.1.3.3</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бюджеты муниципальных образований (без учета межбюджетных трансферов из бюджета субъекта Российской Федерации)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29"/>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25</w:t>
            </w:r>
          </w:p>
        </w:tc>
      </w:tr>
      <w:tr w:rsidR="001B2DA7">
        <w:trPr>
          <w:trHeight w:hRule="exact" w:val="430"/>
        </w:trPr>
        <w:tc>
          <w:tcPr>
            <w:tcW w:w="100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4442"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и источники финансирования</w:t>
            </w:r>
          </w:p>
        </w:tc>
        <w:tc>
          <w:tcPr>
            <w:tcW w:w="8596" w:type="dxa"/>
            <w:gridSpan w:val="2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Объем финансового обеспечения по годам реализации (млн. рублей)</w:t>
            </w:r>
          </w:p>
        </w:tc>
        <w:tc>
          <w:tcPr>
            <w:tcW w:w="1577" w:type="dxa"/>
            <w:gridSpan w:val="3"/>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Всего</w:t>
            </w:r>
          </w:p>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(млн. рублей)</w:t>
            </w:r>
          </w:p>
        </w:tc>
      </w:tr>
      <w:tr w:rsidR="001B2DA7">
        <w:trPr>
          <w:trHeight w:hRule="exact" w:val="287"/>
        </w:trPr>
        <w:tc>
          <w:tcPr>
            <w:tcW w:w="100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4442"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2019</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2021</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2022</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2023</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2024</w:t>
            </w:r>
          </w:p>
        </w:tc>
        <w:tc>
          <w:tcPr>
            <w:tcW w:w="1577"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r>
      <w:tr w:rsidR="001B2DA7">
        <w:trPr>
          <w:trHeight w:hRule="exact" w:val="28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r>
      <w:tr w:rsidR="001B2DA7">
        <w:trPr>
          <w:trHeight w:hRule="exact" w:val="445"/>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1.1.4</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внебюджетные источники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97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2</w:t>
            </w:r>
          </w:p>
          <w:p w:rsidR="001B2DA7" w:rsidRDefault="001B2DA7"/>
        </w:tc>
        <w:tc>
          <w:tcPr>
            <w:tcW w:w="14615" w:type="dxa"/>
            <w:gridSpan w:val="2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Результат федерального проекта (справочно из паспорта федерального проекта): Не менее 900 тыс. детей получили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с учетом реализации проекта "Билет в будущее"</w:t>
            </w:r>
            <w:r>
              <w:rPr>
                <w:rFonts w:ascii="Times New Roman" w:eastAsia="Times New Roman" w:hAnsi="Times New Roman" w:cs="Times New Roman"/>
                <w:color w:val="FFFFFF"/>
                <w:spacing w:val="-2"/>
                <w:sz w:val="24"/>
                <w:szCs w:val="24"/>
              </w:rPr>
              <w:t>0</w:t>
            </w:r>
          </w:p>
          <w:p w:rsidR="001B2DA7" w:rsidRDefault="001B2DA7"/>
        </w:tc>
      </w:tr>
      <w:tr w:rsidR="001B2DA7">
        <w:trPr>
          <w:trHeight w:hRule="exact" w:val="2292"/>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2.1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Не менее 900 тыс. детей получили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с учетом реализации проекта "Билет в будущее"</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71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2.1.1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Федеральный бюджет (в т.ч. межбюджетные трансферы бюджету)</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124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2.1.2</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бюджеты государственных внебюджетных фондов Российской Федерации и их территориальных фондов</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71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2.1.3</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консолидированный бюджет субъекта Российской Федерации, в т.ч.</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4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2.1.3.1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 субъекта Российской Федерации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97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2.1.3.2</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межбюджетные трансферты бюджета субъекта Российской Федерации бюджетам муниципальных образований</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903"/>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2.1.3.3</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бюджеты муниципальных образований (без учета межбюджетных трансферов из </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26</w:t>
            </w:r>
          </w:p>
        </w:tc>
      </w:tr>
      <w:tr w:rsidR="001B2DA7">
        <w:trPr>
          <w:trHeight w:hRule="exact" w:val="430"/>
        </w:trPr>
        <w:tc>
          <w:tcPr>
            <w:tcW w:w="100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4442"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и источники финансирования</w:t>
            </w:r>
          </w:p>
        </w:tc>
        <w:tc>
          <w:tcPr>
            <w:tcW w:w="8596" w:type="dxa"/>
            <w:gridSpan w:val="2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Объем финансового обеспечения по годам реализации (млн. рублей)</w:t>
            </w:r>
          </w:p>
        </w:tc>
        <w:tc>
          <w:tcPr>
            <w:tcW w:w="1577" w:type="dxa"/>
            <w:gridSpan w:val="3"/>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Всего</w:t>
            </w:r>
          </w:p>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(млн. рублей)</w:t>
            </w:r>
          </w:p>
        </w:tc>
      </w:tr>
      <w:tr w:rsidR="001B2DA7">
        <w:trPr>
          <w:trHeight w:hRule="exact" w:val="286"/>
        </w:trPr>
        <w:tc>
          <w:tcPr>
            <w:tcW w:w="100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4442"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2019</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2021</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2022</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2023</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2024</w:t>
            </w:r>
          </w:p>
        </w:tc>
        <w:tc>
          <w:tcPr>
            <w:tcW w:w="1577"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r>
      <w:tr w:rsidR="001B2DA7">
        <w:trPr>
          <w:trHeight w:hRule="exact" w:val="28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r>
      <w:tr w:rsidR="001B2DA7">
        <w:trPr>
          <w:trHeight w:hRule="exact" w:val="71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бюджета субъекта Российской Федерации)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r>
      <w:tr w:rsidR="001B2DA7">
        <w:trPr>
          <w:trHeight w:hRule="exact" w:val="44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2.1.4</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внебюджетные источники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71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lastRenderedPageBreak/>
              <w:t>3</w:t>
            </w:r>
          </w:p>
          <w:p w:rsidR="001B2DA7" w:rsidRDefault="001B2DA7"/>
        </w:tc>
        <w:tc>
          <w:tcPr>
            <w:tcW w:w="14615" w:type="dxa"/>
            <w:gridSpan w:val="2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Результат федерального проекта (справочно из паспорта федерального проекта): Для 935 тыс. детей в не менее чем в 7000 общеобразовательных организаций, расположенных в сельской местности, обновлена материально-техническая база для занятий физической культурой и спортом </w:t>
            </w:r>
            <w:r>
              <w:rPr>
                <w:rFonts w:ascii="Times New Roman" w:eastAsia="Times New Roman" w:hAnsi="Times New Roman" w:cs="Times New Roman"/>
                <w:color w:val="FFFFFF"/>
                <w:spacing w:val="-2"/>
                <w:sz w:val="24"/>
                <w:szCs w:val="24"/>
              </w:rPr>
              <w:t>0</w:t>
            </w:r>
          </w:p>
          <w:p w:rsidR="001B2DA7" w:rsidRDefault="001B2DA7"/>
        </w:tc>
      </w:tr>
      <w:tr w:rsidR="001B2DA7">
        <w:trPr>
          <w:trHeight w:hRule="exact" w:val="1762"/>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Для 935 тыс. детей в не менее чем в 7000 общеобразовательных организаций, расположенных в сельской местности, обновлена материально-техническая база для занятий физической культурой и спортом </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06629B" w:rsidP="0006629B">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29,62</w:t>
            </w:r>
            <w:r w:rsidR="0092130A">
              <w:rPr>
                <w:rFonts w:ascii="Times New Roman" w:eastAsia="Times New Roman" w:hAnsi="Times New Roman" w:cs="Times New Roman"/>
                <w:color w:val="000000"/>
                <w:spacing w:val="-2"/>
                <w:sz w:val="24"/>
              </w:rPr>
              <w:t>0</w:t>
            </w:r>
            <w:r>
              <w:rPr>
                <w:rFonts w:ascii="Times New Roman" w:eastAsia="Times New Roman" w:hAnsi="Times New Roman" w:cs="Times New Roman"/>
                <w:color w:val="000000"/>
                <w:spacing w:val="-2"/>
                <w:sz w:val="24"/>
              </w:rPr>
              <w:t>1</w:t>
            </w:r>
            <w:r w:rsidR="00A15B55">
              <w:rPr>
                <w:rFonts w:ascii="Times New Roman" w:eastAsia="Times New Roman" w:hAnsi="Times New Roman" w:cs="Times New Roman"/>
                <w:color w:val="000000"/>
                <w:spacing w:val="-2"/>
                <w:sz w:val="24"/>
              </w:rPr>
              <w:t>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71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Федеральный бюджет (в т.ч. межбюджетные трансферы бюджету)</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rsidP="0092130A">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r w:rsidR="0092130A">
              <w:rPr>
                <w:rFonts w:ascii="Times New Roman" w:eastAsia="Times New Roman" w:hAnsi="Times New Roman" w:cs="Times New Roman"/>
                <w:color w:val="000000"/>
                <w:spacing w:val="-2"/>
                <w:sz w:val="24"/>
              </w:rPr>
              <w:t>3963</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3,40</w:t>
            </w:r>
          </w:p>
        </w:tc>
      </w:tr>
      <w:tr w:rsidR="001B2DA7">
        <w:trPr>
          <w:trHeight w:hRule="exact" w:val="124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3.1.2</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бюджеты государственных внебюджетных фондов Российской Федерации и их территориальных фондов</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71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3.1.3</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консолидированный бюджет субъекта Российской Федерации, в т.ч.</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06629B" w:rsidP="0006629B">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29,62</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4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3.1.3.1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 субъекта Российской Федерации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06629B" w:rsidP="0006629B">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26,2238</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29,62</w:t>
            </w:r>
          </w:p>
        </w:tc>
      </w:tr>
      <w:tr w:rsidR="001B2DA7">
        <w:trPr>
          <w:trHeight w:hRule="exact" w:val="975"/>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3.1.3.2</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межбюджетные трансферты бюджета субъекта Российской Федерации бюджетам муниципальных образований</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29,62</w:t>
            </w:r>
            <w:r w:rsidR="0092130A">
              <w:rPr>
                <w:rFonts w:ascii="Times New Roman" w:eastAsia="Times New Roman" w:hAnsi="Times New Roman" w:cs="Times New Roman"/>
                <w:color w:val="000000"/>
                <w:spacing w:val="-2"/>
                <w:sz w:val="24"/>
              </w:rPr>
              <w:t>01</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29,62</w:t>
            </w:r>
          </w:p>
        </w:tc>
      </w:tr>
      <w:tr w:rsidR="001B2DA7">
        <w:trPr>
          <w:trHeight w:hRule="exact" w:val="97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3.1.3.3</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бюджеты муниципальных образований (без учета межбюджетных трансферов из бюджета субъекта Российской </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27</w:t>
            </w:r>
          </w:p>
        </w:tc>
      </w:tr>
      <w:tr w:rsidR="001B2DA7">
        <w:trPr>
          <w:trHeight w:hRule="exact" w:val="430"/>
        </w:trPr>
        <w:tc>
          <w:tcPr>
            <w:tcW w:w="100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4442"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и источники финансирования</w:t>
            </w:r>
          </w:p>
        </w:tc>
        <w:tc>
          <w:tcPr>
            <w:tcW w:w="8596" w:type="dxa"/>
            <w:gridSpan w:val="2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Объем финансового обеспечения по годам реализации (млн. рублей)</w:t>
            </w:r>
          </w:p>
        </w:tc>
        <w:tc>
          <w:tcPr>
            <w:tcW w:w="1577" w:type="dxa"/>
            <w:gridSpan w:val="3"/>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Всего</w:t>
            </w:r>
          </w:p>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(млн. рублей)</w:t>
            </w:r>
          </w:p>
        </w:tc>
      </w:tr>
      <w:tr w:rsidR="001B2DA7">
        <w:trPr>
          <w:trHeight w:hRule="exact" w:val="286"/>
        </w:trPr>
        <w:tc>
          <w:tcPr>
            <w:tcW w:w="100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4442"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2019</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2021</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2022</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2023</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2024</w:t>
            </w:r>
          </w:p>
        </w:tc>
        <w:tc>
          <w:tcPr>
            <w:tcW w:w="1577"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r>
      <w:tr w:rsidR="001B2DA7">
        <w:trPr>
          <w:trHeight w:hRule="exact" w:val="28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r>
      <w:tr w:rsidR="001B2DA7">
        <w:trPr>
          <w:trHeight w:hRule="exact" w:val="44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Федерации)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r>
      <w:tr w:rsidR="001B2DA7">
        <w:trPr>
          <w:trHeight w:hRule="exact" w:val="44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3.1.4</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внебюджетные источники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30"/>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lastRenderedPageBreak/>
              <w:t>4</w:t>
            </w:r>
          </w:p>
          <w:p w:rsidR="001B2DA7" w:rsidRDefault="001B2DA7"/>
        </w:tc>
        <w:tc>
          <w:tcPr>
            <w:tcW w:w="14615" w:type="dxa"/>
            <w:gridSpan w:val="2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Результат федерального проекта (справочно из паспорта федерального проекта): Созданы детские технопарки "Кванториум" </w:t>
            </w:r>
            <w:r>
              <w:rPr>
                <w:rFonts w:ascii="Times New Roman" w:eastAsia="Times New Roman" w:hAnsi="Times New Roman" w:cs="Times New Roman"/>
                <w:color w:val="FFFFFF"/>
                <w:spacing w:val="-2"/>
                <w:sz w:val="24"/>
                <w:szCs w:val="24"/>
              </w:rPr>
              <w:t>0</w:t>
            </w:r>
          </w:p>
          <w:p w:rsidR="001B2DA7" w:rsidRDefault="001B2DA7"/>
        </w:tc>
      </w:tr>
      <w:tr w:rsidR="001B2DA7">
        <w:trPr>
          <w:trHeight w:hRule="exact" w:val="71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Созданы детские технопарки "Кванториум" </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46454">
            <w:pPr>
              <w:spacing w:line="230" w:lineRule="auto"/>
              <w:jc w:val="center"/>
              <w:rPr>
                <w:rFonts w:ascii="Times New Roman" w:eastAsia="Times New Roman" w:hAnsi="Times New Roman" w:cs="Times New Roman"/>
                <w:color w:val="000000"/>
                <w:spacing w:val="-2"/>
                <w:sz w:val="24"/>
              </w:rPr>
            </w:pPr>
            <w:r w:rsidRPr="00146454">
              <w:rPr>
                <w:rFonts w:ascii="Times New Roman" w:eastAsia="Times New Roman" w:hAnsi="Times New Roman" w:cs="Times New Roman"/>
                <w:color w:val="000000"/>
                <w:spacing w:val="-2"/>
                <w:sz w:val="24"/>
              </w:rPr>
              <w:t>73,0479</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73,05</w:t>
            </w:r>
          </w:p>
        </w:tc>
      </w:tr>
      <w:tr w:rsidR="001B2DA7">
        <w:trPr>
          <w:trHeight w:hRule="exact" w:val="71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Федеральный бюджет (в т.ч. межбюджетные трансферы бюджету)</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48,94</w:t>
            </w:r>
            <w:r w:rsidR="00103A04">
              <w:rPr>
                <w:rFonts w:ascii="Times New Roman" w:eastAsia="Times New Roman" w:hAnsi="Times New Roman" w:cs="Times New Roman"/>
                <w:color w:val="000000"/>
                <w:spacing w:val="-2"/>
                <w:sz w:val="24"/>
              </w:rPr>
              <w:t>21</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48,94</w:t>
            </w:r>
          </w:p>
        </w:tc>
      </w:tr>
      <w:tr w:rsidR="001B2DA7">
        <w:trPr>
          <w:trHeight w:hRule="exact" w:val="124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4.1.2</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бюджеты государственных внебюджетных фондов Российской Федерации и их территориальных фондов</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71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4.1.3</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консолидированный бюджет субъекта Российской Федерации, в т.ч.</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46454">
            <w:pPr>
              <w:spacing w:line="230" w:lineRule="auto"/>
              <w:jc w:val="center"/>
              <w:rPr>
                <w:rFonts w:ascii="Times New Roman" w:eastAsia="Times New Roman" w:hAnsi="Times New Roman" w:cs="Times New Roman"/>
                <w:color w:val="000000"/>
                <w:spacing w:val="-2"/>
                <w:sz w:val="24"/>
              </w:rPr>
            </w:pPr>
            <w:r w:rsidRPr="00146454">
              <w:rPr>
                <w:rFonts w:ascii="Times New Roman" w:eastAsia="Times New Roman" w:hAnsi="Times New Roman" w:cs="Times New Roman"/>
                <w:color w:val="000000"/>
                <w:spacing w:val="-2"/>
                <w:sz w:val="24"/>
              </w:rPr>
              <w:t>73,0479</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73,05</w:t>
            </w:r>
          </w:p>
        </w:tc>
      </w:tr>
      <w:tr w:rsidR="001B2DA7">
        <w:trPr>
          <w:trHeight w:hRule="exact" w:val="44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4.1.3.1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 субъекта Российской Федерации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92130A">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24,10</w:t>
            </w:r>
            <w:r w:rsidR="00146454">
              <w:rPr>
                <w:rFonts w:ascii="Times New Roman" w:eastAsia="Times New Roman" w:hAnsi="Times New Roman" w:cs="Times New Roman"/>
                <w:color w:val="000000"/>
                <w:spacing w:val="-2"/>
                <w:sz w:val="24"/>
              </w:rPr>
              <w:t>58</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73,05</w:t>
            </w:r>
          </w:p>
        </w:tc>
      </w:tr>
      <w:tr w:rsidR="001B2DA7">
        <w:trPr>
          <w:trHeight w:hRule="exact" w:val="97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4.1.3.2</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межбюджетные трансферты бюджета субъекта Российской Федерации бюджетам муниципальных образований</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124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4.1.3.3</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бюджеты муниципальных образований (без учета межбюджетных трансферов из бюджета субъекта Российской Федерации)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4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4.1.4</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внебюджетные источники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71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5</w:t>
            </w:r>
          </w:p>
          <w:p w:rsidR="001B2DA7" w:rsidRDefault="001B2DA7"/>
        </w:tc>
        <w:tc>
          <w:tcPr>
            <w:tcW w:w="14615" w:type="dxa"/>
            <w:gridSpan w:val="2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Результат федерального проекта (справочно из паспорта федерального проекта): Не менее 70% детей с ограниченными возможностями здоровья осваивают дополнительные общеобразовательные программы, в том числе с использованием дистанционных технологий</w:t>
            </w:r>
            <w:r>
              <w:rPr>
                <w:rFonts w:ascii="Times New Roman" w:eastAsia="Times New Roman" w:hAnsi="Times New Roman" w:cs="Times New Roman"/>
                <w:color w:val="FFFFFF"/>
                <w:spacing w:val="-2"/>
                <w:sz w:val="24"/>
                <w:szCs w:val="24"/>
              </w:rPr>
              <w:t>0</w:t>
            </w:r>
          </w:p>
          <w:p w:rsidR="001B2DA7" w:rsidRDefault="001B2DA7"/>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28</w:t>
            </w:r>
          </w:p>
        </w:tc>
      </w:tr>
      <w:tr w:rsidR="001B2DA7">
        <w:trPr>
          <w:trHeight w:hRule="exact" w:val="430"/>
        </w:trPr>
        <w:tc>
          <w:tcPr>
            <w:tcW w:w="100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4442"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и источники финансирования</w:t>
            </w:r>
          </w:p>
        </w:tc>
        <w:tc>
          <w:tcPr>
            <w:tcW w:w="8596" w:type="dxa"/>
            <w:gridSpan w:val="2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Объем финансового обеспечения по годам реализации (млн. рублей)</w:t>
            </w:r>
          </w:p>
        </w:tc>
        <w:tc>
          <w:tcPr>
            <w:tcW w:w="1577" w:type="dxa"/>
            <w:gridSpan w:val="3"/>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Всего</w:t>
            </w:r>
          </w:p>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(млн. рублей)</w:t>
            </w:r>
          </w:p>
        </w:tc>
      </w:tr>
      <w:tr w:rsidR="001B2DA7">
        <w:trPr>
          <w:trHeight w:hRule="exact" w:val="287"/>
        </w:trPr>
        <w:tc>
          <w:tcPr>
            <w:tcW w:w="100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4442"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2019</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2021</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2022</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2023</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2024</w:t>
            </w:r>
          </w:p>
        </w:tc>
        <w:tc>
          <w:tcPr>
            <w:tcW w:w="1577"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r>
      <w:tr w:rsidR="001B2DA7">
        <w:trPr>
          <w:trHeight w:hRule="exact" w:val="28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r>
      <w:tr w:rsidR="001B2DA7">
        <w:trPr>
          <w:trHeight w:hRule="exact" w:val="1763"/>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5.1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Не менее 70% детей с ограниченными возможностями здоровья осваивают дополнительные общеобразовательные программы, в том числе с использованием дистанционных технологий</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71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5.1.1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Федеральный бюджет (в т.ч. межбюджетные трансферы бюджету)</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124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5.1.2</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бюджеты государственных внебюджетных фондов Российской Федерации и их территориальных фондов</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71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5.1.3</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консолидированный бюджет субъекта Российской Федерации, в т.ч.</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4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5.1.3.1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 субъекта Российской Федерации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97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5.1.3.2</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межбюджетные трансферты бюджета субъекта Российской Федерации бюджетам муниципальных образований</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124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5.1.3.3</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бюджеты муниципальных образований (без учета межбюджетных трансферов из бюджета субъекта Российской Федерации)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4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5.1.4</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внебюджетные источники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29</w:t>
            </w:r>
          </w:p>
        </w:tc>
      </w:tr>
      <w:tr w:rsidR="001B2DA7">
        <w:trPr>
          <w:trHeight w:hRule="exact" w:val="430"/>
        </w:trPr>
        <w:tc>
          <w:tcPr>
            <w:tcW w:w="100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4442"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и источники финансирования</w:t>
            </w:r>
          </w:p>
        </w:tc>
        <w:tc>
          <w:tcPr>
            <w:tcW w:w="8596" w:type="dxa"/>
            <w:gridSpan w:val="2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Объем финансового обеспечения по годам реализации (млн. рублей)</w:t>
            </w:r>
          </w:p>
        </w:tc>
        <w:tc>
          <w:tcPr>
            <w:tcW w:w="1577" w:type="dxa"/>
            <w:gridSpan w:val="3"/>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Всего</w:t>
            </w:r>
          </w:p>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(млн. рублей)</w:t>
            </w:r>
          </w:p>
        </w:tc>
      </w:tr>
      <w:tr w:rsidR="001B2DA7">
        <w:trPr>
          <w:trHeight w:hRule="exact" w:val="286"/>
        </w:trPr>
        <w:tc>
          <w:tcPr>
            <w:tcW w:w="100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4442"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2019</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2021</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2022</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2023</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2024</w:t>
            </w:r>
          </w:p>
        </w:tc>
        <w:tc>
          <w:tcPr>
            <w:tcW w:w="1577"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r>
      <w:tr w:rsidR="001B2DA7">
        <w:trPr>
          <w:trHeight w:hRule="exact" w:val="28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r>
      <w:tr w:rsidR="001B2DA7">
        <w:trPr>
          <w:trHeight w:hRule="exact" w:val="124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6</w:t>
            </w:r>
          </w:p>
          <w:p w:rsidR="001B2DA7" w:rsidRDefault="001B2DA7"/>
        </w:tc>
        <w:tc>
          <w:tcPr>
            <w:tcW w:w="14615" w:type="dxa"/>
            <w:gridSpan w:val="2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Результат федерального проекта (справочно из паспорта федерального проекта): Созданы ключевые центры дополнительного образования детей, реализующих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участвующих в создании научных и научно-образовательных центров мирового уровня или обеспечивающих деятельность центров компетенций Национальной технологической инициативы</w:t>
            </w:r>
            <w:r>
              <w:rPr>
                <w:rFonts w:ascii="Times New Roman" w:eastAsia="Times New Roman" w:hAnsi="Times New Roman" w:cs="Times New Roman"/>
                <w:color w:val="FFFFFF"/>
                <w:spacing w:val="-2"/>
                <w:sz w:val="24"/>
                <w:szCs w:val="24"/>
              </w:rPr>
              <w:t>0</w:t>
            </w:r>
          </w:p>
          <w:p w:rsidR="001B2DA7" w:rsidRDefault="001B2DA7"/>
        </w:tc>
      </w:tr>
      <w:tr w:rsidR="001B2DA7">
        <w:trPr>
          <w:trHeight w:hRule="exact" w:val="1949"/>
        </w:trPr>
        <w:tc>
          <w:tcPr>
            <w:tcW w:w="100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6.1</w:t>
            </w:r>
          </w:p>
        </w:tc>
        <w:tc>
          <w:tcPr>
            <w:tcW w:w="4442"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Созданы ключевые центры дополнительного образования детей, реализующих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участвующих в создании научных и научно-образовательных центров мирового уровня или обеспечивающих деятельность центров компетенций Национальной технологической инициативы</w:t>
            </w:r>
          </w:p>
        </w:tc>
        <w:tc>
          <w:tcPr>
            <w:tcW w:w="1432"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1934"/>
        </w:trPr>
        <w:tc>
          <w:tcPr>
            <w:tcW w:w="100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4442"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32"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33"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33"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3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32"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577"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71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Федеральный бюджет (в т.ч. межбюджетные трансферы бюджету)</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124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6.1.2</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бюджеты государственных внебюджетных фондов Российской Федерации и их территориальных фондов</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71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6.1.3</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консолидированный бюджет субъекта Российской Федерации, в т.ч.</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4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6.1.3.1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 субъекта Российской Федерации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58"/>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6.1.3.2</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межбюджетные трансферты бюджета </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w:t>
            </w:r>
          </w:p>
        </w:tc>
      </w:tr>
      <w:tr w:rsidR="001B2DA7">
        <w:trPr>
          <w:trHeight w:hRule="exact" w:val="430"/>
        </w:trPr>
        <w:tc>
          <w:tcPr>
            <w:tcW w:w="100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4442"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и источники финансирования</w:t>
            </w:r>
          </w:p>
        </w:tc>
        <w:tc>
          <w:tcPr>
            <w:tcW w:w="8596" w:type="dxa"/>
            <w:gridSpan w:val="2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Объем финансового обеспечения по годам реализации (млн. рублей)</w:t>
            </w:r>
          </w:p>
        </w:tc>
        <w:tc>
          <w:tcPr>
            <w:tcW w:w="1577" w:type="dxa"/>
            <w:gridSpan w:val="3"/>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Всего</w:t>
            </w:r>
          </w:p>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(млн. рублей)</w:t>
            </w:r>
          </w:p>
        </w:tc>
      </w:tr>
      <w:tr w:rsidR="001B2DA7">
        <w:trPr>
          <w:trHeight w:hRule="exact" w:val="286"/>
        </w:trPr>
        <w:tc>
          <w:tcPr>
            <w:tcW w:w="100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4442"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2019</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2021</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2022</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2023</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2024</w:t>
            </w:r>
          </w:p>
        </w:tc>
        <w:tc>
          <w:tcPr>
            <w:tcW w:w="1577"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r>
      <w:tr w:rsidR="001B2DA7">
        <w:trPr>
          <w:trHeight w:hRule="exact" w:val="28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r>
      <w:tr w:rsidR="001B2DA7">
        <w:trPr>
          <w:trHeight w:hRule="exact" w:val="71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субъекта Российской Федерации бюджетам муниципальных образований</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r>
      <w:tr w:rsidR="001B2DA7">
        <w:trPr>
          <w:trHeight w:hRule="exact" w:val="124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6.1.3.3</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бюджеты муниципальных образований (без учета межбюджетных трансферов из бюджета субъекта Российской Федерации)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4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6.1.4</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внебюджетные источники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124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7</w:t>
            </w:r>
          </w:p>
          <w:p w:rsidR="001B2DA7" w:rsidRDefault="001B2DA7"/>
        </w:tc>
        <w:tc>
          <w:tcPr>
            <w:tcW w:w="14615" w:type="dxa"/>
            <w:gridSpan w:val="2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Результат федерального проекта (справочно из паспорта федерального проекта): Оказана поддержка организациям на реализацию пилотных проектов по обновлению содержания и технологий дополнительного образования по приоритетным направлениям, в том числе поддержаны проекты по организации летних школ, организованных российскими образовательными организациями, с участием не менее 18 тыс. детей и представителей молодежи из числа иностранных граждан</w:t>
            </w:r>
            <w:r>
              <w:rPr>
                <w:rFonts w:ascii="Times New Roman" w:eastAsia="Times New Roman" w:hAnsi="Times New Roman" w:cs="Times New Roman"/>
                <w:color w:val="FFFFFF"/>
                <w:spacing w:val="-2"/>
                <w:sz w:val="24"/>
                <w:szCs w:val="24"/>
              </w:rPr>
              <w:t>0</w:t>
            </w:r>
          </w:p>
          <w:p w:rsidR="001B2DA7" w:rsidRDefault="001B2DA7"/>
        </w:tc>
      </w:tr>
      <w:tr w:rsidR="001B2DA7">
        <w:trPr>
          <w:trHeight w:hRule="exact" w:val="1676"/>
        </w:trPr>
        <w:tc>
          <w:tcPr>
            <w:tcW w:w="100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7.1</w:t>
            </w:r>
          </w:p>
        </w:tc>
        <w:tc>
          <w:tcPr>
            <w:tcW w:w="4442"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Оказана поддержка организациям на реализацию пилотных проектов по обновлению содержания и технологий дополнительного образования по приоритетным направлениям, в том числе поддержаны проекты по организации летних школ, организованных российскими образовательными организациями, с участием не менее 18 тыс. детей и представителей молодежи из числа иностранных граждан</w:t>
            </w:r>
          </w:p>
        </w:tc>
        <w:tc>
          <w:tcPr>
            <w:tcW w:w="1432"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1676"/>
        </w:trPr>
        <w:tc>
          <w:tcPr>
            <w:tcW w:w="100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4442"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32"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33"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33"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3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432"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577"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71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7.1.1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Федеральный бюджет (в т.ч. межбюджетные трансферы бюджету)</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988"/>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7.1.2</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бюджеты государственных внебюджетных фондов Российской Федерации и их территориальных </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w:t>
            </w:r>
          </w:p>
        </w:tc>
      </w:tr>
      <w:tr w:rsidR="001B2DA7">
        <w:trPr>
          <w:trHeight w:hRule="exact" w:val="430"/>
        </w:trPr>
        <w:tc>
          <w:tcPr>
            <w:tcW w:w="100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4442"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и источники финансирования</w:t>
            </w:r>
          </w:p>
        </w:tc>
        <w:tc>
          <w:tcPr>
            <w:tcW w:w="8596" w:type="dxa"/>
            <w:gridSpan w:val="2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Объем финансового обеспечения по годам реализации (млн. рублей)</w:t>
            </w:r>
          </w:p>
        </w:tc>
        <w:tc>
          <w:tcPr>
            <w:tcW w:w="1577" w:type="dxa"/>
            <w:gridSpan w:val="3"/>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Всего</w:t>
            </w:r>
          </w:p>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(млн. рублей)</w:t>
            </w:r>
          </w:p>
        </w:tc>
      </w:tr>
      <w:tr w:rsidR="001B2DA7">
        <w:trPr>
          <w:trHeight w:hRule="exact" w:val="287"/>
        </w:trPr>
        <w:tc>
          <w:tcPr>
            <w:tcW w:w="100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4442"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2019</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2021</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2022</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2023</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2024</w:t>
            </w:r>
          </w:p>
        </w:tc>
        <w:tc>
          <w:tcPr>
            <w:tcW w:w="1577"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r>
      <w:tr w:rsidR="001B2DA7">
        <w:trPr>
          <w:trHeight w:hRule="exact" w:val="28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r>
      <w:tr w:rsidR="001B2DA7">
        <w:trPr>
          <w:trHeight w:hRule="exact" w:val="44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фондов</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r>
      <w:tr w:rsidR="001B2DA7">
        <w:trPr>
          <w:trHeight w:hRule="exact" w:val="71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7.1.3</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консолидированный бюджет субъекта Российской Федерации, в т.ч.</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4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7.1.3.1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 субъекта Российской Федерации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97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7.1.3.2</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межбюджетные трансферты бюджета субъекта Российской Федерации бюджетам муниципальных образований</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124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7.1.3.3</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бюджеты муниципальных образований (без учета межбюджетных трансферов из бюджета субъекта Российской Федерации)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4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7.1.4</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внебюджетные источники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71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8</w:t>
            </w:r>
          </w:p>
          <w:p w:rsidR="001B2DA7" w:rsidRDefault="001B2DA7"/>
        </w:tc>
        <w:tc>
          <w:tcPr>
            <w:tcW w:w="14615" w:type="dxa"/>
            <w:gridSpan w:val="2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Результат федерального проекта (справочно из паспорта федерального проекта): Во всех субъектах Российской Федерации внедрена целевая модель развития региональных систем дополнительного образования детей</w:t>
            </w:r>
            <w:r>
              <w:rPr>
                <w:rFonts w:ascii="Times New Roman" w:eastAsia="Times New Roman" w:hAnsi="Times New Roman" w:cs="Times New Roman"/>
                <w:color w:val="FFFFFF"/>
                <w:spacing w:val="-2"/>
                <w:sz w:val="24"/>
                <w:szCs w:val="24"/>
              </w:rPr>
              <w:t>0</w:t>
            </w:r>
          </w:p>
          <w:p w:rsidR="001B2DA7" w:rsidRDefault="001B2DA7"/>
        </w:tc>
      </w:tr>
      <w:tr w:rsidR="001B2DA7">
        <w:trPr>
          <w:trHeight w:hRule="exact" w:val="124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Во всех субъектах Российской Федерации внедрена целевая модель развития региональных систем дополнительного образования детей</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10,54</w:t>
            </w:r>
            <w:r w:rsidR="003D511D">
              <w:rPr>
                <w:rFonts w:ascii="Times New Roman" w:eastAsia="Times New Roman" w:hAnsi="Times New Roman" w:cs="Times New Roman"/>
                <w:color w:val="000000"/>
                <w:spacing w:val="-2"/>
                <w:sz w:val="24"/>
              </w:rPr>
              <w:t>15</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10,54</w:t>
            </w:r>
          </w:p>
        </w:tc>
      </w:tr>
      <w:tr w:rsidR="001B2DA7">
        <w:trPr>
          <w:trHeight w:hRule="exact" w:val="71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8.1.1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Федеральный бюджет (в т.ч. межбюджетные трансферы бюджету)</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7,06</w:t>
            </w:r>
            <w:r w:rsidR="003D511D">
              <w:rPr>
                <w:rFonts w:ascii="Times New Roman" w:eastAsia="Times New Roman" w:hAnsi="Times New Roman" w:cs="Times New Roman"/>
                <w:color w:val="000000"/>
                <w:spacing w:val="-2"/>
                <w:sz w:val="24"/>
              </w:rPr>
              <w:t>28</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7,06</w:t>
            </w:r>
          </w:p>
        </w:tc>
      </w:tr>
      <w:tr w:rsidR="001B2DA7">
        <w:trPr>
          <w:trHeight w:hRule="exact" w:val="124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8.1.2</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бюджеты государственных внебюджетных фондов Российской Федерации и их территориальных фондов</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51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8.1.3</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консолидированный бюджет субъекта </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10,54</w:t>
            </w:r>
            <w:r w:rsidR="003D511D">
              <w:rPr>
                <w:rFonts w:ascii="Times New Roman" w:eastAsia="Times New Roman" w:hAnsi="Times New Roman" w:cs="Times New Roman"/>
                <w:color w:val="000000"/>
                <w:spacing w:val="-2"/>
                <w:sz w:val="24"/>
              </w:rPr>
              <w:t>15</w:t>
            </w:r>
            <w:bookmarkStart w:id="0" w:name="_GoBack"/>
            <w:bookmarkEnd w:id="0"/>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10,54</w:t>
            </w:r>
          </w:p>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32</w:t>
            </w:r>
          </w:p>
        </w:tc>
      </w:tr>
      <w:tr w:rsidR="001B2DA7">
        <w:trPr>
          <w:trHeight w:hRule="exact" w:val="429"/>
        </w:trPr>
        <w:tc>
          <w:tcPr>
            <w:tcW w:w="100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4442"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и источники финансирования</w:t>
            </w:r>
          </w:p>
        </w:tc>
        <w:tc>
          <w:tcPr>
            <w:tcW w:w="8596" w:type="dxa"/>
            <w:gridSpan w:val="2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Объем финансового обеспечения по годам реализации (млн. рублей)</w:t>
            </w:r>
          </w:p>
        </w:tc>
        <w:tc>
          <w:tcPr>
            <w:tcW w:w="1577" w:type="dxa"/>
            <w:gridSpan w:val="3"/>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Всего</w:t>
            </w:r>
          </w:p>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(млн. рублей)</w:t>
            </w:r>
          </w:p>
        </w:tc>
      </w:tr>
      <w:tr w:rsidR="001B2DA7">
        <w:trPr>
          <w:trHeight w:hRule="exact" w:val="287"/>
        </w:trPr>
        <w:tc>
          <w:tcPr>
            <w:tcW w:w="100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4442"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2019</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2021</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2022</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2023</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2024</w:t>
            </w:r>
          </w:p>
        </w:tc>
        <w:tc>
          <w:tcPr>
            <w:tcW w:w="1577"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r>
      <w:tr w:rsidR="001B2DA7">
        <w:trPr>
          <w:trHeight w:hRule="exact" w:val="28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r>
      <w:tr w:rsidR="001B2DA7">
        <w:trPr>
          <w:trHeight w:hRule="exact" w:val="44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Российской Федерации, в т.ч.</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r>
      <w:tr w:rsidR="001B2DA7">
        <w:trPr>
          <w:trHeight w:hRule="exact" w:val="44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8.1.3.1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 субъекта Российской Федерации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92130A" w:rsidP="003D511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3,4</w:t>
            </w:r>
            <w:r w:rsidR="003D511D">
              <w:rPr>
                <w:rFonts w:ascii="Times New Roman" w:eastAsia="Times New Roman" w:hAnsi="Times New Roman" w:cs="Times New Roman"/>
                <w:color w:val="000000"/>
                <w:spacing w:val="-2"/>
                <w:sz w:val="24"/>
              </w:rPr>
              <w:t>787</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10,54</w:t>
            </w:r>
          </w:p>
        </w:tc>
      </w:tr>
      <w:tr w:rsidR="001B2DA7">
        <w:trPr>
          <w:trHeight w:hRule="exact" w:val="97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8.1.3.2</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межбюджетные трансферты бюджета субъекта Российской Федерации бюджетам муниципальных образований</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124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8.1.3.3</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бюджеты муниципальных образований (без учета межбюджетных трансферов из бюджета субъекта Российской Федерации)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4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8.1.4</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внебюджетные источники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97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9</w:t>
            </w:r>
          </w:p>
          <w:p w:rsidR="001B2DA7" w:rsidRDefault="001B2DA7"/>
        </w:tc>
        <w:tc>
          <w:tcPr>
            <w:tcW w:w="14615" w:type="dxa"/>
            <w:gridSpan w:val="2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Результат федерального проекта (справочно из паспорта федерального проекта): К 2024 году обучающимся 5-11 классов предоставлены возможности освоения основных общеобразовательных программ по индивидуальному учебному плану, в том числе в сетевой форме, с зачетом результатов освоения ими дополнительных общеобразовательных программ и программ профессионального обучения</w:t>
            </w:r>
            <w:r>
              <w:rPr>
                <w:rFonts w:ascii="Times New Roman" w:eastAsia="Times New Roman" w:hAnsi="Times New Roman" w:cs="Times New Roman"/>
                <w:color w:val="FFFFFF"/>
                <w:spacing w:val="-2"/>
                <w:sz w:val="24"/>
                <w:szCs w:val="24"/>
              </w:rPr>
              <w:t>0</w:t>
            </w:r>
          </w:p>
          <w:p w:rsidR="001B2DA7" w:rsidRDefault="001B2DA7"/>
        </w:tc>
      </w:tr>
      <w:tr w:rsidR="001B2DA7">
        <w:trPr>
          <w:trHeight w:hRule="exact" w:val="2565"/>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 2024 году обучающимся 5-11 классов предоставлены возможности освоения основных общеобразовательных программ по индивидуальному учебному плану, в том числе в сетевой форме, с зачетом результатов освоения ими дополнительных общеобразовательных программ и программ профессионального обучения</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71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Федеральный бюджет (в т.ч. межбюджетные трансферы бюджету)</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903"/>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9.1.2</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бюджеты государственных внебюджетных фондов Российской </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33</w:t>
            </w:r>
          </w:p>
        </w:tc>
      </w:tr>
      <w:tr w:rsidR="001B2DA7">
        <w:trPr>
          <w:trHeight w:hRule="exact" w:val="430"/>
        </w:trPr>
        <w:tc>
          <w:tcPr>
            <w:tcW w:w="100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4442"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и источники финансирования</w:t>
            </w:r>
          </w:p>
        </w:tc>
        <w:tc>
          <w:tcPr>
            <w:tcW w:w="8596" w:type="dxa"/>
            <w:gridSpan w:val="2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Объем финансового обеспечения по годам реализации (млн. рублей)</w:t>
            </w:r>
          </w:p>
        </w:tc>
        <w:tc>
          <w:tcPr>
            <w:tcW w:w="1577" w:type="dxa"/>
            <w:gridSpan w:val="3"/>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Всего</w:t>
            </w:r>
          </w:p>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(млн. рублей)</w:t>
            </w:r>
          </w:p>
        </w:tc>
      </w:tr>
      <w:tr w:rsidR="001B2DA7">
        <w:trPr>
          <w:trHeight w:hRule="exact" w:val="286"/>
        </w:trPr>
        <w:tc>
          <w:tcPr>
            <w:tcW w:w="100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4442"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2019</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2021</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2022</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2023</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2024</w:t>
            </w:r>
          </w:p>
        </w:tc>
        <w:tc>
          <w:tcPr>
            <w:tcW w:w="1577"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r>
      <w:tr w:rsidR="001B2DA7">
        <w:trPr>
          <w:trHeight w:hRule="exact" w:val="28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r>
      <w:tr w:rsidR="001B2DA7">
        <w:trPr>
          <w:trHeight w:hRule="exact" w:val="71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Федерации и их территориальных фондов</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r>
      <w:tr w:rsidR="001B2DA7">
        <w:trPr>
          <w:trHeight w:hRule="exact" w:val="71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9.1.3</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консолидированный бюджет субъекта Российской Федерации, в т.ч.</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4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9.1.3.1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 субъекта Российской Федерации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97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9.1.3.2</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межбюджетные трансферты бюджета субъекта Российской Федерации бюджетам муниципальных образований</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124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9.1.3.3</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бюджеты муниципальных образований (без учета межбюджетных трансферов из бюджета субъекта Российской Федерации)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4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9.1.4</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внебюджетные источники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34</w:t>
            </w:r>
          </w:p>
        </w:tc>
      </w:tr>
      <w:tr w:rsidR="001B2DA7">
        <w:trPr>
          <w:trHeight w:hRule="exact" w:val="429"/>
        </w:trPr>
        <w:tc>
          <w:tcPr>
            <w:tcW w:w="100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4442"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и источники финансирования</w:t>
            </w:r>
          </w:p>
        </w:tc>
        <w:tc>
          <w:tcPr>
            <w:tcW w:w="8596" w:type="dxa"/>
            <w:gridSpan w:val="2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Объем финансового обеспечения по годам реализации (млн. рублей)</w:t>
            </w:r>
          </w:p>
        </w:tc>
        <w:tc>
          <w:tcPr>
            <w:tcW w:w="1577" w:type="dxa"/>
            <w:gridSpan w:val="3"/>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Всего</w:t>
            </w:r>
          </w:p>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(млн. рублей)</w:t>
            </w:r>
          </w:p>
        </w:tc>
      </w:tr>
      <w:tr w:rsidR="001B2DA7">
        <w:trPr>
          <w:trHeight w:hRule="exact" w:val="287"/>
        </w:trPr>
        <w:tc>
          <w:tcPr>
            <w:tcW w:w="100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4442"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2019</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2021</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2022</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2023</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2024</w:t>
            </w:r>
          </w:p>
        </w:tc>
        <w:tc>
          <w:tcPr>
            <w:tcW w:w="1577"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r>
      <w:tr w:rsidR="001B2DA7">
        <w:trPr>
          <w:trHeight w:hRule="exact" w:val="28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r>
      <w:tr w:rsidR="001B2DA7">
        <w:trPr>
          <w:trHeight w:hRule="exact" w:val="716"/>
        </w:trPr>
        <w:tc>
          <w:tcPr>
            <w:tcW w:w="5445"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Всего по региональному проекту, в том числе:</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83,59</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83,59</w:t>
            </w:r>
          </w:p>
        </w:tc>
      </w:tr>
      <w:tr w:rsidR="001B2DA7">
        <w:trPr>
          <w:trHeight w:hRule="exact" w:val="1146"/>
        </w:trPr>
        <w:tc>
          <w:tcPr>
            <w:tcW w:w="5445"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федеральный бюджет (в т.ч. межбюджетные трансферты бюджету) (Ленинградская область)</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59,40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59,40</w:t>
            </w:r>
          </w:p>
        </w:tc>
      </w:tr>
      <w:tr w:rsidR="001B2DA7">
        <w:trPr>
          <w:trHeight w:hRule="exact" w:val="1003"/>
        </w:trPr>
        <w:tc>
          <w:tcPr>
            <w:tcW w:w="5445"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бюджеты государственных внебюджетных </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фондов Российской Федерации и их</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территориальных фондов</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717"/>
        </w:trPr>
        <w:tc>
          <w:tcPr>
            <w:tcW w:w="5445"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консолидированный бюджет субъекта</w:t>
            </w:r>
          </w:p>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Российской Федерации, в т.ч.:</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83,59</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83,59</w:t>
            </w:r>
          </w:p>
        </w:tc>
      </w:tr>
      <w:tr w:rsidR="001B2DA7">
        <w:trPr>
          <w:trHeight w:hRule="exact" w:val="573"/>
        </w:trPr>
        <w:tc>
          <w:tcPr>
            <w:tcW w:w="5445"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 субъекта Российской Федерации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113,21</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113,21</w:t>
            </w:r>
          </w:p>
        </w:tc>
      </w:tr>
      <w:tr w:rsidR="001B2DA7">
        <w:trPr>
          <w:trHeight w:hRule="exact" w:val="1003"/>
        </w:trPr>
        <w:tc>
          <w:tcPr>
            <w:tcW w:w="5445"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межбюджетные трансферты бюджета субъекта Российской Федерации бюджетам муниципальных образований</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29,62</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29,62</w:t>
            </w:r>
          </w:p>
        </w:tc>
      </w:tr>
      <w:tr w:rsidR="001B2DA7">
        <w:trPr>
          <w:trHeight w:hRule="exact" w:val="1003"/>
        </w:trPr>
        <w:tc>
          <w:tcPr>
            <w:tcW w:w="5445"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бюджеты муниципальных образований (без учета межбюджетных трансфертов из бюджета субъектов Российской Федерации)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573"/>
        </w:trPr>
        <w:tc>
          <w:tcPr>
            <w:tcW w:w="5445"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внебюджетные источники</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1B2DA7">
        <w:trPr>
          <w:trHeight w:hRule="exact" w:val="430"/>
        </w:trPr>
        <w:tc>
          <w:tcPr>
            <w:tcW w:w="15618" w:type="dxa"/>
            <w:gridSpan w:val="33"/>
            <w:tcBorders>
              <w:top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35</w:t>
            </w:r>
          </w:p>
        </w:tc>
      </w:tr>
      <w:tr w:rsidR="001B2DA7">
        <w:trPr>
          <w:trHeight w:hRule="exact" w:val="143"/>
        </w:trPr>
        <w:tc>
          <w:tcPr>
            <w:tcW w:w="860" w:type="dxa"/>
            <w:gridSpan w:val="3"/>
            <w:shd w:val="clear" w:color="auto" w:fill="auto"/>
          </w:tcPr>
          <w:p w:rsidR="001B2DA7" w:rsidRDefault="00A15B55">
            <w:pPr>
              <w:spacing w:line="230" w:lineRule="auto"/>
              <w:rPr>
                <w:rFonts w:ascii="Arial" w:eastAsia="Arial" w:hAnsi="Arial" w:cs="Arial"/>
                <w:spacing w:val="-2"/>
                <w:sz w:val="16"/>
              </w:rPr>
            </w:pPr>
            <w:r>
              <w:rPr>
                <w:rFonts w:ascii="Arial" w:eastAsia="Arial" w:hAnsi="Arial" w:cs="Arial"/>
                <w:spacing w:val="-2"/>
                <w:sz w:val="16"/>
              </w:rPr>
              <w:t>0</w:t>
            </w:r>
          </w:p>
        </w:tc>
        <w:tc>
          <w:tcPr>
            <w:tcW w:w="14758" w:type="dxa"/>
            <w:gridSpan w:val="30"/>
            <w:shd w:val="clear" w:color="auto" w:fill="auto"/>
            <w:vAlign w:val="center"/>
          </w:tcPr>
          <w:p w:rsidR="001B2DA7" w:rsidRDefault="001B2DA7"/>
        </w:tc>
      </w:tr>
      <w:tr w:rsidR="001B2DA7">
        <w:trPr>
          <w:trHeight w:hRule="exact" w:val="430"/>
        </w:trPr>
        <w:tc>
          <w:tcPr>
            <w:tcW w:w="15618" w:type="dxa"/>
            <w:gridSpan w:val="33"/>
            <w:tcBorders>
              <w:bottom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spacing w:val="-2"/>
                <w:sz w:val="28"/>
                <w:szCs w:val="28"/>
              </w:rPr>
              <w:t>5. Участники регионального проекта</w:t>
            </w:r>
          </w:p>
          <w:p w:rsidR="001B2DA7" w:rsidRDefault="001B2DA7"/>
        </w:tc>
      </w:tr>
      <w:tr w:rsidR="001B2DA7">
        <w:trPr>
          <w:trHeight w:hRule="exact" w:val="57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Роль в региональном проекте</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Фамилия, инициалы</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Должность</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Непосредственный руководитель</w:t>
            </w: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Занятость в проекте</w:t>
            </w:r>
          </w:p>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(процентов)</w:t>
            </w:r>
          </w:p>
        </w:tc>
      </w:tr>
      <w:tr w:rsidR="001B2DA7">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r>
      <w:tr w:rsidR="001B2DA7">
        <w:trPr>
          <w:trHeight w:hRule="exact" w:val="573"/>
        </w:trPr>
        <w:tc>
          <w:tcPr>
            <w:tcW w:w="15618" w:type="dxa"/>
            <w:gridSpan w:val="33"/>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Общие организационные мероприятия по региональному проекту</w:t>
            </w:r>
          </w:p>
          <w:p w:rsidR="001B2DA7" w:rsidRDefault="001B2DA7"/>
        </w:tc>
      </w:tr>
      <w:tr w:rsidR="001B2DA7">
        <w:trPr>
          <w:trHeight w:hRule="exact" w:val="5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Участник проекта</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Орлова М. И.</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Главный специалист</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25</w:t>
            </w:r>
          </w:p>
        </w:tc>
      </w:tr>
      <w:tr w:rsidR="001B2DA7">
        <w:trPr>
          <w:trHeight w:hRule="exact" w:val="57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Участник проекта</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Веревкина Т. А.</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Начальник департамента</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r>
      <w:tr w:rsidR="001B2DA7">
        <w:trPr>
          <w:trHeight w:hRule="exact" w:val="57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Участник проекта</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Винокуров М. В.</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Главный специалист</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w:t>
            </w:r>
          </w:p>
        </w:tc>
      </w:tr>
      <w:tr w:rsidR="001B2DA7">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Участник проекта</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Хурда П. А.</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Начальник отдела проектного управления</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r>
      <w:tr w:rsidR="001B2DA7">
        <w:trPr>
          <w:trHeight w:hRule="exact" w:val="57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Участник проекта</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Киселев А. С.</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Начальник отдела</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r>
      <w:tr w:rsidR="001B2DA7">
        <w:trPr>
          <w:trHeight w:hRule="exact" w:val="717"/>
        </w:trPr>
        <w:tc>
          <w:tcPr>
            <w:tcW w:w="15618"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Не менее чем 12 млн. детей приняли участие в открытых онлайн-уроках, реализуемых с учетом опыта цикла открытых уроков "Проектория", направленных на раннюю профориентацию</w:t>
            </w:r>
          </w:p>
          <w:p w:rsidR="001B2DA7" w:rsidRDefault="001B2DA7"/>
        </w:tc>
      </w:tr>
      <w:tr w:rsidR="001B2DA7">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Участник регионального проекта</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Глевицкая Е. И.</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Начальник сектора</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r>
      <w:tr w:rsidR="001B2DA7">
        <w:trPr>
          <w:trHeight w:hRule="exact" w:val="717"/>
        </w:trPr>
        <w:tc>
          <w:tcPr>
            <w:tcW w:w="15618"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Не менее 900 тыс. детей получили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с учетом реализации проекта "Билет в будущее"</w:t>
            </w:r>
          </w:p>
          <w:p w:rsidR="001B2DA7" w:rsidRDefault="001B2DA7"/>
        </w:tc>
      </w:tr>
      <w:tr w:rsidR="001B2DA7">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7</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достижение результата регионального проекта</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Винокуров М. В.</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Главный специалист</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w:t>
            </w:r>
          </w:p>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36</w:t>
            </w:r>
          </w:p>
        </w:tc>
      </w:tr>
      <w:tr w:rsidR="001B2DA7">
        <w:trPr>
          <w:trHeight w:hRule="exact" w:val="716"/>
        </w:trPr>
        <w:tc>
          <w:tcPr>
            <w:tcW w:w="15618"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Для 935 тыс. детей в не менее чем в 7000 общеобразовательных организаций, расположенных в сельской местности, обновлена материально-техническая база для занятий физической культурой и спортом </w:t>
            </w:r>
          </w:p>
          <w:p w:rsidR="001B2DA7" w:rsidRDefault="001B2DA7"/>
        </w:tc>
      </w:tr>
      <w:tr w:rsidR="001B2DA7">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достижение результата регионального проекта</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Андрюшин А. В.</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Главный специалист</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w:t>
            </w:r>
          </w:p>
        </w:tc>
      </w:tr>
      <w:tr w:rsidR="001B2DA7">
        <w:trPr>
          <w:trHeight w:hRule="exact" w:val="71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Участник регионального проекта</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Комарова Н. М.</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консультант</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r>
      <w:tr w:rsidR="001B2DA7">
        <w:trPr>
          <w:trHeight w:hRule="exact" w:val="430"/>
        </w:trPr>
        <w:tc>
          <w:tcPr>
            <w:tcW w:w="15618"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Созданы детские технопарки "Кванториум" </w:t>
            </w:r>
          </w:p>
          <w:p w:rsidR="001B2DA7" w:rsidRDefault="001B2DA7"/>
        </w:tc>
      </w:tr>
      <w:tr w:rsidR="001B2DA7">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достижение результата регионального проекта</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Орлова М. И.</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Главный специалист</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25</w:t>
            </w:r>
          </w:p>
        </w:tc>
      </w:tr>
      <w:tr w:rsidR="001B2DA7">
        <w:trPr>
          <w:trHeight w:hRule="exact" w:val="716"/>
        </w:trPr>
        <w:tc>
          <w:tcPr>
            <w:tcW w:w="15618"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Не менее 70% детей с ограниченными возможностями здоровья осваивают дополнительные общеобразовательные программы, в том числе с использованием дистанционных технологий</w:t>
            </w:r>
          </w:p>
          <w:p w:rsidR="001B2DA7" w:rsidRDefault="001B2DA7"/>
        </w:tc>
      </w:tr>
      <w:tr w:rsidR="001B2DA7">
        <w:trPr>
          <w:trHeight w:hRule="exact" w:val="97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достижение результата регионального проекта</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Орлова М. И.</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Главный специалист</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25</w:t>
            </w:r>
          </w:p>
        </w:tc>
      </w:tr>
      <w:tr w:rsidR="001B2DA7">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Участник регионального проекта</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Селезнева Г. В.</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Главный специалист</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r>
      <w:tr w:rsidR="001B2DA7">
        <w:trPr>
          <w:trHeight w:hRule="exact" w:val="974"/>
        </w:trPr>
        <w:tc>
          <w:tcPr>
            <w:tcW w:w="15618"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Созданы ключевые центры дополнительного образования детей, реализующих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участвующих в создании научных и научно-образовательных центров мирового уровня или обеспечивающих деятельность центров компетенций Национальной технологической инициативы</w:t>
            </w:r>
          </w:p>
          <w:p w:rsidR="001B2DA7" w:rsidRDefault="001B2DA7"/>
        </w:tc>
      </w:tr>
      <w:tr w:rsidR="001B2DA7">
        <w:trPr>
          <w:trHeight w:hRule="exact" w:val="97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13</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достижение результата регионального проекта</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Орлова М. И.</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Главный специалист</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25</w:t>
            </w:r>
          </w:p>
        </w:tc>
      </w:tr>
      <w:tr w:rsidR="001B2DA7">
        <w:trPr>
          <w:trHeight w:hRule="exact" w:val="429"/>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37</w:t>
            </w:r>
          </w:p>
        </w:tc>
      </w:tr>
      <w:tr w:rsidR="001B2DA7">
        <w:trPr>
          <w:trHeight w:hRule="exact" w:val="975"/>
        </w:trPr>
        <w:tc>
          <w:tcPr>
            <w:tcW w:w="15618"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lastRenderedPageBreak/>
              <w:t>Оказана поддержка организациям на реализацию пилотных проектов по обновлению содержания и технологий дополнительного образования по приоритетным направлениям, в том числе поддержаны проекты по организации летних школ, организованных российскими образовательными организациями, с участием не менее 18 тыс. детей и представителей молодежи из числа иностранных граждан</w:t>
            </w:r>
          </w:p>
          <w:p w:rsidR="001B2DA7" w:rsidRDefault="001B2DA7"/>
        </w:tc>
      </w:tr>
      <w:tr w:rsidR="001B2DA7">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14</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достижение результата регионального проекта</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Андрюшин А. В.</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Главный специалист</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w:t>
            </w:r>
          </w:p>
        </w:tc>
      </w:tr>
      <w:tr w:rsidR="001B2DA7">
        <w:trPr>
          <w:trHeight w:hRule="exact" w:val="430"/>
        </w:trPr>
        <w:tc>
          <w:tcPr>
            <w:tcW w:w="15618"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Во всех субъектах Российской Федерации внедрена целевая модель развития региональных систем дополнительного образования детей</w:t>
            </w:r>
          </w:p>
          <w:p w:rsidR="001B2DA7" w:rsidRDefault="001B2DA7"/>
        </w:tc>
      </w:tr>
      <w:tr w:rsidR="001B2DA7">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достижение результата регионального проекта</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Орлова М. И.</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Главный специалист</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25</w:t>
            </w:r>
          </w:p>
        </w:tc>
      </w:tr>
      <w:tr w:rsidR="001B2DA7">
        <w:trPr>
          <w:trHeight w:hRule="exact" w:val="71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Участник регионального проекта</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Комарова Н. М.</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консультант</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r>
      <w:tr w:rsidR="001B2DA7">
        <w:trPr>
          <w:trHeight w:hRule="exact" w:val="974"/>
        </w:trPr>
        <w:tc>
          <w:tcPr>
            <w:tcW w:w="15618"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Разработаны и внедрены методические рекомендации по механизмам вовлечения общественно-деловых объединений и участия представителей работодателей в принятии решений по вопросам управления развитием образовательной организации, в том числе в обновлении образовательных программ</w:t>
            </w:r>
          </w:p>
          <w:p w:rsidR="001B2DA7" w:rsidRDefault="001B2DA7"/>
        </w:tc>
      </w:tr>
      <w:tr w:rsidR="001B2DA7">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17</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достижение результата регионального проекта</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Засельская Т. Ю.</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Главный специалист</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r>
      <w:tr w:rsidR="001B2DA7">
        <w:trPr>
          <w:trHeight w:hRule="exact" w:val="717"/>
        </w:trPr>
        <w:tc>
          <w:tcPr>
            <w:tcW w:w="15618"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Не менее чем 70% обучающихся организаций, осуществляющих образовательную деятельность по дополнительным общеобразовательным программам, вовлечены в различные формы наставничества</w:t>
            </w:r>
          </w:p>
          <w:p w:rsidR="001B2DA7" w:rsidRDefault="001B2DA7"/>
        </w:tc>
      </w:tr>
      <w:tr w:rsidR="001B2DA7">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18</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достижение результата регионального проекта</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Орлова М. И.</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Главный специалист</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25</w:t>
            </w:r>
          </w:p>
        </w:tc>
      </w:tr>
      <w:tr w:rsidR="001B2DA7">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19</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Участник регионального проекта</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Винокуров М. В.</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Главный специалист</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w:t>
            </w:r>
          </w:p>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38</w:t>
            </w:r>
          </w:p>
        </w:tc>
      </w:tr>
      <w:tr w:rsidR="001B2DA7">
        <w:trPr>
          <w:trHeight w:hRule="exact" w:val="974"/>
        </w:trPr>
        <w:tc>
          <w:tcPr>
            <w:tcW w:w="15618"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К 2024 году обучающимся 5-11 классов предоставлены возможности освоения основных общеобразовательных программ по индивидуальному учебному плану, в том числе в сетевой форме, с зачетом результатов освоения ими дополнительных общеобразовательных программ и программ профессионального обучения</w:t>
            </w:r>
          </w:p>
          <w:p w:rsidR="001B2DA7" w:rsidRDefault="001B2DA7"/>
        </w:tc>
      </w:tr>
      <w:tr w:rsidR="001B2DA7">
        <w:trPr>
          <w:trHeight w:hRule="exact" w:val="97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20</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достижение результата регионального проекта</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Артамонова Е. Р.</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Главный специалист</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r>
      <w:tr w:rsidR="001B2DA7">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21</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Участник регионального проекта</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Винокуров М. В.</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Главный специалист</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w:t>
            </w:r>
          </w:p>
        </w:tc>
      </w:tr>
      <w:tr w:rsidR="001B2DA7">
        <w:trPr>
          <w:trHeight w:hRule="exact" w:val="71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22</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Участник регионального проекта</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Орлова М. И.</w:t>
            </w:r>
          </w:p>
        </w:tc>
        <w:tc>
          <w:tcPr>
            <w:tcW w:w="329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Главный специалист</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25</w:t>
            </w:r>
          </w:p>
        </w:tc>
      </w:tr>
      <w:tr w:rsidR="001B2DA7">
        <w:trPr>
          <w:trHeight w:hRule="exact" w:val="429"/>
        </w:trPr>
        <w:tc>
          <w:tcPr>
            <w:tcW w:w="15618" w:type="dxa"/>
            <w:gridSpan w:val="33"/>
            <w:tcBorders>
              <w:top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39</w:t>
            </w:r>
          </w:p>
        </w:tc>
      </w:tr>
      <w:tr w:rsidR="001B2DA7">
        <w:trPr>
          <w:trHeight w:hRule="exact" w:val="559"/>
        </w:trPr>
        <w:tc>
          <w:tcPr>
            <w:tcW w:w="15618" w:type="dxa"/>
            <w:gridSpan w:val="33"/>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6. Дополнительная информация</w:t>
            </w:r>
          </w:p>
        </w:tc>
      </w:tr>
      <w:tr w:rsidR="001B2DA7">
        <w:trPr>
          <w:trHeight w:hRule="exact" w:val="15"/>
        </w:trPr>
        <w:tc>
          <w:tcPr>
            <w:tcW w:w="15603" w:type="dxa"/>
            <w:gridSpan w:val="32"/>
            <w:tcBorders>
              <w:bottom w:val="single" w:sz="5" w:space="0" w:color="000000"/>
            </w:tcBorders>
          </w:tcPr>
          <w:p w:rsidR="001B2DA7" w:rsidRDefault="001B2DA7"/>
        </w:tc>
        <w:tc>
          <w:tcPr>
            <w:tcW w:w="15" w:type="dxa"/>
          </w:tcPr>
          <w:p w:rsidR="001B2DA7" w:rsidRDefault="001B2DA7"/>
        </w:tc>
      </w:tr>
      <w:tr w:rsidR="001B2DA7">
        <w:trPr>
          <w:trHeight w:hRule="exact" w:val="1905"/>
        </w:trPr>
        <w:tc>
          <w:tcPr>
            <w:tcW w:w="15603" w:type="dxa"/>
            <w:gridSpan w:val="3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1B2DA7" w:rsidRDefault="001B2DA7">
            <w:pPr>
              <w:spacing w:line="230" w:lineRule="auto"/>
              <w:rPr>
                <w:rFonts w:ascii="Times New Roman" w:eastAsia="Times New Roman" w:hAnsi="Times New Roman" w:cs="Times New Roman"/>
                <w:color w:val="000000"/>
                <w:spacing w:val="-2"/>
                <w:sz w:val="24"/>
              </w:rPr>
            </w:pPr>
          </w:p>
          <w:p w:rsidR="001B2DA7" w:rsidRDefault="00A15B55">
            <w:pPr>
              <w:spacing w:line="230" w:lineRule="auto"/>
              <w:rPr>
                <w:rFonts w:ascii="Times New Roman" w:eastAsia="Times New Roman" w:hAnsi="Times New Roman" w:cs="Times New Roman"/>
                <w:color w:val="000000"/>
                <w:spacing w:val="-2"/>
                <w:sz w:val="24"/>
              </w:rPr>
            </w:pPr>
            <w:r>
              <w:rPr>
                <w:rFonts w:ascii="'&quot;noto" w:eastAsia="'&quot;noto" w:hAnsi="'&quot;noto" w:cs="'&quot;noto"/>
                <w:spacing w:val="-2"/>
                <w:sz w:val="8"/>
                <w:szCs w:val="8"/>
              </w:rPr>
              <w:t>Региональный проект "Успех каждого ребенка" направлен на достижение цели национального проекта "Образование" по воспитанию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1B2DA7" w:rsidRDefault="001B2DA7">
            <w:pPr>
              <w:spacing w:line="230" w:lineRule="auto"/>
              <w:rPr>
                <w:rFonts w:ascii="Times New Roman" w:eastAsia="Times New Roman" w:hAnsi="Times New Roman" w:cs="Times New Roman"/>
                <w:color w:val="000000"/>
                <w:spacing w:val="-2"/>
                <w:sz w:val="24"/>
              </w:rPr>
            </w:pPr>
          </w:p>
          <w:p w:rsidR="001B2DA7" w:rsidRDefault="00A15B55">
            <w:pPr>
              <w:spacing w:line="230" w:lineRule="auto"/>
              <w:rPr>
                <w:rFonts w:ascii="Times New Roman" w:eastAsia="Times New Roman" w:hAnsi="Times New Roman" w:cs="Times New Roman"/>
                <w:color w:val="000000"/>
                <w:spacing w:val="-2"/>
                <w:sz w:val="24"/>
              </w:rPr>
            </w:pPr>
            <w:r>
              <w:rPr>
                <w:rFonts w:ascii="'&quot;noto" w:eastAsia="'&quot;noto" w:hAnsi="'&quot;noto" w:cs="'&quot;noto"/>
                <w:spacing w:val="-2"/>
                <w:sz w:val="8"/>
                <w:szCs w:val="8"/>
              </w:rPr>
              <w:t>Результаты реализации настоящего регионального проекта окажут существенное влияние на развитие  в Ленинградской области системы дополнительного образования детей, создание конкурентной среды, повышение доступности и качества дополнительного образования детей, внедрения в практику механизмов персонифицированного финансирования, эффективной системы управления сферой дополнительного образования детей.</w:t>
            </w:r>
          </w:p>
          <w:p w:rsidR="001B2DA7" w:rsidRDefault="001B2DA7">
            <w:pPr>
              <w:spacing w:line="230" w:lineRule="auto"/>
              <w:rPr>
                <w:rFonts w:ascii="Times New Roman" w:eastAsia="Times New Roman" w:hAnsi="Times New Roman" w:cs="Times New Roman"/>
                <w:color w:val="000000"/>
                <w:spacing w:val="-2"/>
                <w:sz w:val="24"/>
              </w:rPr>
            </w:pPr>
          </w:p>
          <w:p w:rsidR="001B2DA7" w:rsidRDefault="00A15B55">
            <w:pPr>
              <w:spacing w:line="230" w:lineRule="auto"/>
              <w:rPr>
                <w:rFonts w:ascii="Times New Roman" w:eastAsia="Times New Roman" w:hAnsi="Times New Roman" w:cs="Times New Roman"/>
                <w:color w:val="000000"/>
                <w:spacing w:val="-2"/>
                <w:sz w:val="24"/>
              </w:rPr>
            </w:pPr>
            <w:r>
              <w:rPr>
                <w:rFonts w:ascii="'&quot;noto" w:eastAsia="'&quot;noto" w:hAnsi="'&quot;noto" w:cs="'&quot;noto"/>
                <w:spacing w:val="-2"/>
                <w:sz w:val="8"/>
                <w:szCs w:val="8"/>
              </w:rPr>
              <w:t>Региональным проектом предусмотрено развитие механизмов ранней профессиональной ориентации ребенка и формирование индивидуального учебного плана, в том числе внедрение инструмента сводного электронного портфолио, и в соответствии с выбранными профессиональными компетенциями, активное участие в реализации проекта представителей реального сектора экономики региона, ведущих научных деятелей, изобретателей и предпринимателей.</w:t>
            </w:r>
          </w:p>
          <w:p w:rsidR="001B2DA7" w:rsidRDefault="001B2DA7">
            <w:pPr>
              <w:spacing w:line="230" w:lineRule="auto"/>
              <w:rPr>
                <w:rFonts w:ascii="Times New Roman" w:eastAsia="Times New Roman" w:hAnsi="Times New Roman" w:cs="Times New Roman"/>
                <w:color w:val="000000"/>
                <w:spacing w:val="-2"/>
                <w:sz w:val="24"/>
              </w:rPr>
            </w:pPr>
          </w:p>
          <w:p w:rsidR="001B2DA7" w:rsidRDefault="00A15B55">
            <w:pPr>
              <w:spacing w:line="230" w:lineRule="auto"/>
              <w:rPr>
                <w:rFonts w:ascii="Times New Roman" w:eastAsia="Times New Roman" w:hAnsi="Times New Roman" w:cs="Times New Roman"/>
                <w:color w:val="000000"/>
                <w:spacing w:val="-2"/>
                <w:sz w:val="24"/>
              </w:rPr>
            </w:pPr>
            <w:r>
              <w:rPr>
                <w:rFonts w:ascii="'&quot;noto" w:eastAsia="'&quot;noto" w:hAnsi="'&quot;noto" w:cs="'&quot;noto"/>
                <w:spacing w:val="-2"/>
                <w:sz w:val="8"/>
                <w:szCs w:val="8"/>
              </w:rPr>
              <w:t>По итогам реализации регионального проекта охват детей дополнительным образованием к 2024 году достигнет 80%, в том числе не менее 76 600 детей будут обучаться по дополнительным общеобразовательным программам естественнонаучной и технической направленностей. В результате для 100% детей будет обеспечена гармоничная образовательная среда с опорой на исторические и национально-культурные традиции, духовно-нравственные ценности народов Российской Федерации, а также сформированы предпосылки для прорывных направлений в формирующемся новом технологическом укладе.</w:t>
            </w:r>
          </w:p>
          <w:p w:rsidR="001B2DA7" w:rsidRDefault="001B2DA7">
            <w:pPr>
              <w:spacing w:line="230" w:lineRule="auto"/>
              <w:rPr>
                <w:rFonts w:ascii="Times New Roman" w:eastAsia="Times New Roman" w:hAnsi="Times New Roman" w:cs="Times New Roman"/>
                <w:color w:val="000000"/>
                <w:spacing w:val="-2"/>
                <w:sz w:val="24"/>
              </w:rPr>
            </w:pPr>
          </w:p>
          <w:p w:rsidR="001B2DA7" w:rsidRDefault="001B2DA7">
            <w:pPr>
              <w:spacing w:line="184" w:lineRule="auto"/>
              <w:rPr>
                <w:rFonts w:ascii="Times New Roman" w:eastAsia="Times New Roman" w:hAnsi="Times New Roman" w:cs="Times New Roman"/>
                <w:color w:val="000000"/>
                <w:spacing w:val="-2"/>
                <w:sz w:val="24"/>
              </w:rPr>
            </w:pPr>
          </w:p>
          <w:p w:rsidR="001B2DA7" w:rsidRDefault="001B2DA7">
            <w:pPr>
              <w:spacing w:line="230" w:lineRule="auto"/>
              <w:rPr>
                <w:rFonts w:ascii="Times New Roman" w:eastAsia="Times New Roman" w:hAnsi="Times New Roman" w:cs="Times New Roman"/>
                <w:color w:val="000000"/>
                <w:spacing w:val="-2"/>
                <w:sz w:val="24"/>
              </w:rPr>
            </w:pPr>
          </w:p>
          <w:p w:rsidR="001B2DA7" w:rsidRDefault="001B2DA7">
            <w:pPr>
              <w:spacing w:line="230" w:lineRule="auto"/>
              <w:rPr>
                <w:rFonts w:ascii="Times New Roman" w:eastAsia="Times New Roman" w:hAnsi="Times New Roman" w:cs="Times New Roman"/>
                <w:color w:val="000000"/>
                <w:spacing w:val="-2"/>
                <w:sz w:val="24"/>
              </w:rPr>
            </w:pPr>
          </w:p>
          <w:p w:rsidR="001B2DA7" w:rsidRDefault="001B2DA7">
            <w:pPr>
              <w:spacing w:line="184" w:lineRule="auto"/>
              <w:rPr>
                <w:rFonts w:ascii="Times New Roman" w:eastAsia="Times New Roman" w:hAnsi="Times New Roman" w:cs="Times New Roman"/>
                <w:color w:val="000000"/>
                <w:spacing w:val="-2"/>
                <w:sz w:val="24"/>
              </w:rPr>
            </w:pPr>
          </w:p>
          <w:p w:rsidR="001B2DA7" w:rsidRDefault="001B2DA7">
            <w:pPr>
              <w:spacing w:line="230" w:lineRule="auto"/>
              <w:rPr>
                <w:rFonts w:ascii="Times New Roman" w:eastAsia="Times New Roman" w:hAnsi="Times New Roman" w:cs="Times New Roman"/>
                <w:color w:val="000000"/>
                <w:spacing w:val="-2"/>
                <w:sz w:val="24"/>
              </w:rPr>
            </w:pPr>
          </w:p>
          <w:p w:rsidR="001B2DA7" w:rsidRDefault="001B2DA7">
            <w:pPr>
              <w:spacing w:line="230" w:lineRule="auto"/>
              <w:rPr>
                <w:rFonts w:ascii="Times New Roman" w:eastAsia="Times New Roman" w:hAnsi="Times New Roman" w:cs="Times New Roman"/>
                <w:color w:val="000000"/>
                <w:spacing w:val="-2"/>
                <w:sz w:val="24"/>
              </w:rPr>
            </w:pPr>
          </w:p>
          <w:p w:rsidR="001B2DA7" w:rsidRDefault="001B2DA7">
            <w:pPr>
              <w:spacing w:line="184" w:lineRule="auto"/>
              <w:rPr>
                <w:rFonts w:ascii="Times New Roman" w:eastAsia="Times New Roman" w:hAnsi="Times New Roman" w:cs="Times New Roman"/>
                <w:color w:val="000000"/>
                <w:spacing w:val="-2"/>
                <w:sz w:val="24"/>
              </w:rPr>
            </w:pPr>
          </w:p>
          <w:p w:rsidR="001B2DA7" w:rsidRDefault="001B2DA7">
            <w:pPr>
              <w:spacing w:line="230" w:lineRule="auto"/>
              <w:rPr>
                <w:rFonts w:ascii="Times New Roman" w:eastAsia="Times New Roman" w:hAnsi="Times New Roman" w:cs="Times New Roman"/>
                <w:color w:val="000000"/>
                <w:spacing w:val="-2"/>
                <w:sz w:val="24"/>
              </w:rPr>
            </w:pPr>
          </w:p>
          <w:p w:rsidR="001B2DA7" w:rsidRDefault="001B2DA7">
            <w:pPr>
              <w:spacing w:line="230" w:lineRule="auto"/>
              <w:rPr>
                <w:rFonts w:ascii="Times New Roman" w:eastAsia="Times New Roman" w:hAnsi="Times New Roman" w:cs="Times New Roman"/>
                <w:color w:val="000000"/>
                <w:spacing w:val="-2"/>
                <w:sz w:val="24"/>
              </w:rPr>
            </w:pPr>
          </w:p>
          <w:p w:rsidR="001B2DA7" w:rsidRDefault="001B2DA7">
            <w:pPr>
              <w:spacing w:line="184" w:lineRule="auto"/>
              <w:rPr>
                <w:rFonts w:ascii="Times New Roman" w:eastAsia="Times New Roman" w:hAnsi="Times New Roman" w:cs="Times New Roman"/>
                <w:color w:val="000000"/>
                <w:spacing w:val="-2"/>
                <w:sz w:val="24"/>
              </w:rPr>
            </w:pPr>
          </w:p>
          <w:p w:rsidR="001B2DA7" w:rsidRDefault="001B2DA7">
            <w:pPr>
              <w:spacing w:line="230" w:lineRule="auto"/>
              <w:rPr>
                <w:rFonts w:ascii="Times New Roman" w:eastAsia="Times New Roman" w:hAnsi="Times New Roman" w:cs="Times New Roman"/>
                <w:color w:val="000000"/>
                <w:spacing w:val="-2"/>
                <w:sz w:val="24"/>
              </w:rPr>
            </w:pPr>
          </w:p>
          <w:p w:rsidR="001B2DA7" w:rsidRDefault="001B2DA7">
            <w:pPr>
              <w:spacing w:line="230" w:lineRule="auto"/>
              <w:rPr>
                <w:rFonts w:ascii="Times New Roman" w:eastAsia="Times New Roman" w:hAnsi="Times New Roman" w:cs="Times New Roman"/>
                <w:color w:val="000000"/>
                <w:spacing w:val="-2"/>
                <w:sz w:val="24"/>
              </w:rPr>
            </w:pPr>
          </w:p>
          <w:p w:rsidR="001B2DA7" w:rsidRDefault="001B2DA7">
            <w:pPr>
              <w:spacing w:line="184" w:lineRule="auto"/>
              <w:rPr>
                <w:rFonts w:ascii="Times New Roman" w:eastAsia="Times New Roman" w:hAnsi="Times New Roman" w:cs="Times New Roman"/>
                <w:color w:val="000000"/>
                <w:spacing w:val="-2"/>
                <w:sz w:val="24"/>
              </w:rPr>
            </w:pPr>
          </w:p>
          <w:p w:rsidR="001B2DA7" w:rsidRDefault="001B2DA7">
            <w:pPr>
              <w:spacing w:line="230" w:lineRule="auto"/>
              <w:rPr>
                <w:rFonts w:ascii="Times New Roman" w:eastAsia="Times New Roman" w:hAnsi="Times New Roman" w:cs="Times New Roman"/>
                <w:color w:val="000000"/>
                <w:spacing w:val="-2"/>
                <w:sz w:val="24"/>
              </w:rPr>
            </w:pPr>
          </w:p>
          <w:p w:rsidR="001B2DA7" w:rsidRDefault="001B2DA7">
            <w:pPr>
              <w:spacing w:line="230" w:lineRule="auto"/>
              <w:rPr>
                <w:rFonts w:ascii="Times New Roman" w:eastAsia="Times New Roman" w:hAnsi="Times New Roman" w:cs="Times New Roman"/>
                <w:color w:val="000000"/>
                <w:spacing w:val="-2"/>
                <w:sz w:val="24"/>
              </w:rPr>
            </w:pPr>
          </w:p>
          <w:p w:rsidR="001B2DA7" w:rsidRDefault="001B2DA7">
            <w:pPr>
              <w:spacing w:line="184" w:lineRule="auto"/>
              <w:rPr>
                <w:rFonts w:ascii="Times New Roman" w:eastAsia="Times New Roman" w:hAnsi="Times New Roman" w:cs="Times New Roman"/>
                <w:color w:val="000000"/>
                <w:spacing w:val="-2"/>
                <w:sz w:val="24"/>
              </w:rPr>
            </w:pPr>
          </w:p>
          <w:p w:rsidR="001B2DA7" w:rsidRDefault="001B2DA7"/>
        </w:tc>
        <w:tc>
          <w:tcPr>
            <w:tcW w:w="15" w:type="dxa"/>
            <w:tcBorders>
              <w:left w:val="single" w:sz="5" w:space="0" w:color="000000"/>
            </w:tcBorders>
          </w:tcPr>
          <w:p w:rsidR="001B2DA7" w:rsidRDefault="001B2DA7"/>
        </w:tc>
      </w:tr>
      <w:tr w:rsidR="001B2DA7">
        <w:trPr>
          <w:trHeight w:hRule="exact" w:val="1891"/>
        </w:trPr>
        <w:tc>
          <w:tcPr>
            <w:tcW w:w="15603" w:type="dxa"/>
            <w:gridSpan w:val="32"/>
            <w:vMerge/>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1B2DA7"/>
        </w:tc>
        <w:tc>
          <w:tcPr>
            <w:tcW w:w="15" w:type="dxa"/>
            <w:tcBorders>
              <w:left w:val="single" w:sz="5" w:space="0" w:color="000000"/>
            </w:tcBorders>
          </w:tcPr>
          <w:p w:rsidR="001B2DA7" w:rsidRDefault="001B2DA7"/>
        </w:tc>
      </w:tr>
      <w:tr w:rsidR="001B2DA7">
        <w:trPr>
          <w:trHeight w:hRule="exact" w:val="430"/>
        </w:trPr>
        <w:tc>
          <w:tcPr>
            <w:tcW w:w="15618" w:type="dxa"/>
            <w:gridSpan w:val="33"/>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40</w:t>
            </w:r>
          </w:p>
        </w:tc>
      </w:tr>
      <w:tr w:rsidR="001B2DA7">
        <w:trPr>
          <w:trHeight w:hRule="exact" w:val="573"/>
        </w:trPr>
        <w:tc>
          <w:tcPr>
            <w:tcW w:w="11462" w:type="dxa"/>
            <w:gridSpan w:val="25"/>
          </w:tcPr>
          <w:p w:rsidR="001B2DA7" w:rsidRDefault="001B2DA7"/>
        </w:tc>
        <w:tc>
          <w:tcPr>
            <w:tcW w:w="4156" w:type="dxa"/>
            <w:gridSpan w:val="8"/>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ПРИЛОЖЕНИЕ №2</w:t>
            </w:r>
          </w:p>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 паспорту регионального проекта</w:t>
            </w:r>
          </w:p>
        </w:tc>
      </w:tr>
      <w:tr w:rsidR="001B2DA7">
        <w:trPr>
          <w:trHeight w:hRule="exact" w:val="574"/>
        </w:trPr>
        <w:tc>
          <w:tcPr>
            <w:tcW w:w="11462" w:type="dxa"/>
            <w:gridSpan w:val="25"/>
          </w:tcPr>
          <w:p w:rsidR="001B2DA7" w:rsidRDefault="001B2DA7"/>
        </w:tc>
        <w:tc>
          <w:tcPr>
            <w:tcW w:w="4156" w:type="dxa"/>
            <w:gridSpan w:val="8"/>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Успех каждого ребенка (Ленинградская область)</w:t>
            </w:r>
          </w:p>
        </w:tc>
      </w:tr>
      <w:tr w:rsidR="001B2DA7">
        <w:trPr>
          <w:trHeight w:hRule="exact" w:val="859"/>
        </w:trPr>
        <w:tc>
          <w:tcPr>
            <w:tcW w:w="15618" w:type="dxa"/>
            <w:gridSpan w:val="33"/>
            <w:tcBorders>
              <w:bottom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МЕТОДИКА</w:t>
            </w:r>
          </w:p>
          <w:p w:rsidR="001B2DA7" w:rsidRDefault="00A15B55">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расчета дополнительных показателей регионального проекта</w:t>
            </w:r>
          </w:p>
        </w:tc>
      </w:tr>
      <w:tr w:rsidR="001B2DA7">
        <w:trPr>
          <w:trHeight w:hRule="exact" w:val="860"/>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435"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Временные характеристики</w:t>
            </w:r>
          </w:p>
        </w:tc>
        <w:tc>
          <w:tcPr>
            <w:tcW w:w="300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r>
      <w:tr w:rsidR="001B2DA7">
        <w:trPr>
          <w:trHeight w:hRule="exact" w:val="28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435"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300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r>
      <w:tr w:rsidR="001B2DA7">
        <w:trPr>
          <w:trHeight w:hRule="exact" w:val="430"/>
        </w:trPr>
        <w:tc>
          <w:tcPr>
            <w:tcW w:w="15618"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Доля детей в возрасте от 5 до 18 лет, охваченных дополнительным образованием ПРОЦ</w:t>
            </w:r>
          </w:p>
        </w:tc>
      </w:tr>
      <w:tr w:rsidR="001B2DA7">
        <w:trPr>
          <w:trHeight w:hRule="exact" w:val="2866"/>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Доля детей в возрасте от 5 до 18 лет, охваченных дополнительным образованием, процент</w:t>
            </w:r>
          </w:p>
        </w:tc>
        <w:tc>
          <w:tcPr>
            <w:tcW w:w="2435"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Fдод - Доля детей в возрасте от 5 до 18 лет, охваченных дополнительным образованием, ПРОЦ</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Форма федерального статистического наблюдения № 1-ДОП «Сведения о дополнительном образовании детей», Форма федерального статистического наблюдения № 1-качество </w:t>
            </w: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ФЕДЕРАЛЬНАЯ СЛУЖБА ГОСУДАРСТВЕННОЙ СТАТИСТИКИ</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РФ</w:t>
            </w:r>
          </w:p>
        </w:tc>
        <w:tc>
          <w:tcPr>
            <w:tcW w:w="1720"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 31 марта, следующего за отчетным</w:t>
            </w:r>
          </w:p>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Ежегодно</w:t>
            </w:r>
          </w:p>
        </w:tc>
        <w:tc>
          <w:tcPr>
            <w:tcW w:w="300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 показателя (Fдод ) утверждена приказом Федеральной службы государственной статистики</w:t>
            </w:r>
          </w:p>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 4 апреля 2017 г. № 225 "Об утверждении методики расчета показателя "Численность детей в возрасте от 5 до 18 лет, занимавшихся по дополнительным общеобразовательным программам для детей"</w:t>
            </w:r>
          </w:p>
        </w:tc>
      </w:tr>
      <w:tr w:rsidR="001B2DA7">
        <w:trPr>
          <w:trHeight w:hRule="exact" w:val="1633"/>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2435"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300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1634"/>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2435"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300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w:t>
            </w:r>
          </w:p>
        </w:tc>
      </w:tr>
      <w:tr w:rsidR="001B2DA7">
        <w:trPr>
          <w:trHeight w:hRule="exact" w:val="859"/>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435"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Временные характеристики</w:t>
            </w:r>
          </w:p>
        </w:tc>
        <w:tc>
          <w:tcPr>
            <w:tcW w:w="300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r>
      <w:tr w:rsidR="001B2DA7">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435"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300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r>
      <w:tr w:rsidR="001B2DA7">
        <w:trPr>
          <w:trHeight w:hRule="exact" w:val="2865"/>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2435"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1B2DA7">
            <w:pPr>
              <w:spacing w:line="230" w:lineRule="auto"/>
              <w:jc w:val="both"/>
              <w:rPr>
                <w:rFonts w:ascii="Times New Roman" w:eastAsia="Times New Roman" w:hAnsi="Times New Roman" w:cs="Times New Roman"/>
                <w:color w:val="000000"/>
                <w:spacing w:val="-2"/>
                <w:sz w:val="24"/>
              </w:rPr>
            </w:pP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услуг «Вопросник выборочного наблюдения качества и доступности услуг в сферах образования, здраво-охранения и социального обслуживания, содействия занятости населения»</w:t>
            </w: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720"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300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r>
      <w:tr w:rsidR="001B2DA7">
        <w:trPr>
          <w:trHeight w:hRule="exact" w:val="1963"/>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2435"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300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1949"/>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2435"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300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w:t>
            </w:r>
          </w:p>
        </w:tc>
      </w:tr>
      <w:tr w:rsidR="001B2DA7">
        <w:trPr>
          <w:trHeight w:hRule="exact" w:val="859"/>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435"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Временные характеристики</w:t>
            </w:r>
          </w:p>
        </w:tc>
        <w:tc>
          <w:tcPr>
            <w:tcW w:w="300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r>
      <w:tr w:rsidR="001B2DA7">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435"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300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r>
      <w:tr w:rsidR="001B2DA7">
        <w:trPr>
          <w:trHeight w:hRule="exact" w:val="960"/>
        </w:trPr>
        <w:tc>
          <w:tcPr>
            <w:tcW w:w="15618"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ТЫС ЧЕЛ</w:t>
            </w:r>
          </w:p>
        </w:tc>
      </w:tr>
      <w:tr w:rsidR="001B2DA7">
        <w:trPr>
          <w:trHeight w:hRule="exact" w:val="1547"/>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2</w:t>
            </w:r>
          </w:p>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Число детей, охваченных деятельностью детских технопарков "Кванториум" (мобильных технопарков "Кванториум"),</w:t>
            </w:r>
          </w:p>
        </w:tc>
        <w:tc>
          <w:tcPr>
            <w:tcW w:w="2435"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1B2DA7">
            <w:pPr>
              <w:spacing w:line="230" w:lineRule="auto"/>
              <w:jc w:val="both"/>
              <w:rPr>
                <w:rFonts w:ascii="Times New Roman" w:eastAsia="Times New Roman" w:hAnsi="Times New Roman" w:cs="Times New Roman"/>
                <w:color w:val="000000"/>
                <w:spacing w:val="-2"/>
                <w:sz w:val="24"/>
              </w:rPr>
            </w:pP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720"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300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Ki - Численность детей в возрасте от 5 до 18 лет, прошедших обучение и (или) принявших участие в мероприятиях детских технопарков "Кванториум" (мобильных технопарков "Кванториум") в i-ом субъекте Российской Федерации</w:t>
            </w:r>
          </w:p>
        </w:tc>
      </w:tr>
      <w:tr w:rsidR="001B2DA7">
        <w:trPr>
          <w:trHeight w:hRule="exact" w:val="1533"/>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2435"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300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703"/>
        </w:trPr>
        <w:tc>
          <w:tcPr>
            <w:tcW w:w="15618"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 МЛН ЧЕЛ</w:t>
            </w:r>
          </w:p>
        </w:tc>
      </w:tr>
      <w:tr w:rsidR="001B2DA7">
        <w:trPr>
          <w:trHeight w:hRule="exact" w:val="1805"/>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 млн. человек в год</w:t>
            </w:r>
          </w:p>
        </w:tc>
        <w:tc>
          <w:tcPr>
            <w:tcW w:w="2435"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1B2DA7">
            <w:pPr>
              <w:spacing w:line="230" w:lineRule="auto"/>
              <w:jc w:val="both"/>
              <w:rPr>
                <w:rFonts w:ascii="Times New Roman" w:eastAsia="Times New Roman" w:hAnsi="Times New Roman" w:cs="Times New Roman"/>
                <w:color w:val="000000"/>
                <w:spacing w:val="-2"/>
                <w:sz w:val="24"/>
              </w:rPr>
            </w:pP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720"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300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Xi - Численность обучающихся по общеобразовательным программам, принявших участие в i-ом открытом онлайн-уроке, реализуемом с учетом опыта цикла открытых уроков "Проектория", "Уроки настоящего" или иных аналогичных по возможностям, функциям и результатам проектов</w:t>
            </w:r>
          </w:p>
        </w:tc>
      </w:tr>
      <w:tr w:rsidR="001B2DA7">
        <w:trPr>
          <w:trHeight w:hRule="exact" w:val="1805"/>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2435"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300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r w:rsidR="001B2DA7">
        <w:trPr>
          <w:trHeight w:hRule="exact" w:val="430"/>
        </w:trPr>
        <w:tc>
          <w:tcPr>
            <w:tcW w:w="15618" w:type="dxa"/>
            <w:gridSpan w:val="33"/>
            <w:tcBorders>
              <w:top w:val="single" w:sz="5" w:space="0" w:color="000000"/>
              <w:bottom w:val="single" w:sz="5" w:space="0" w:color="000000"/>
            </w:tcBorders>
            <w:shd w:val="clear" w:color="auto" w:fill="auto"/>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43</w:t>
            </w:r>
          </w:p>
        </w:tc>
      </w:tr>
      <w:tr w:rsidR="001B2DA7">
        <w:trPr>
          <w:trHeight w:hRule="exact" w:val="860"/>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435"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Временные характеристики</w:t>
            </w:r>
          </w:p>
        </w:tc>
        <w:tc>
          <w:tcPr>
            <w:tcW w:w="300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r>
      <w:tr w:rsidR="001B2DA7">
        <w:trPr>
          <w:trHeight w:hRule="exact" w:val="28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435"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300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r>
      <w:tr w:rsidR="001B2DA7">
        <w:trPr>
          <w:trHeight w:hRule="exact" w:val="702"/>
        </w:trPr>
        <w:tc>
          <w:tcPr>
            <w:tcW w:w="15618"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1B2DA7" w:rsidRDefault="00A15B55">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 ТЫС ЧЕЛ</w:t>
            </w:r>
          </w:p>
        </w:tc>
      </w:tr>
      <w:tr w:rsidR="001B2DA7">
        <w:trPr>
          <w:trHeight w:hRule="exact" w:val="1677"/>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w:t>
            </w:r>
          </w:p>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Число детей, получивших рекомендации по построению индивидуального плана в соответствии с выбранными профессиональными компетенциями (профессиональными областями деятельности) с учетом реализации проекта "Билет в будущее", тыс. человек, накопительным итогом</w:t>
            </w:r>
          </w:p>
        </w:tc>
        <w:tc>
          <w:tcPr>
            <w:tcW w:w="2435"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1B2DA7">
            <w:pPr>
              <w:spacing w:line="230" w:lineRule="auto"/>
              <w:jc w:val="both"/>
              <w:rPr>
                <w:rFonts w:ascii="Times New Roman" w:eastAsia="Times New Roman" w:hAnsi="Times New Roman" w:cs="Times New Roman"/>
                <w:color w:val="000000"/>
                <w:spacing w:val="-2"/>
                <w:sz w:val="24"/>
              </w:rPr>
            </w:pP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1720"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1B2DA7">
            <w:pPr>
              <w:spacing w:line="230" w:lineRule="auto"/>
              <w:jc w:val="center"/>
              <w:rPr>
                <w:rFonts w:ascii="Times New Roman" w:eastAsia="Times New Roman" w:hAnsi="Times New Roman" w:cs="Times New Roman"/>
                <w:color w:val="000000"/>
                <w:spacing w:val="-2"/>
                <w:sz w:val="24"/>
              </w:rPr>
            </w:pPr>
          </w:p>
        </w:tc>
        <w:tc>
          <w:tcPr>
            <w:tcW w:w="300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1B2DA7" w:rsidRDefault="00A15B55">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X - число детей, получивших рекомендации по построению индивидуального плана в соответствии с выбранными профессиональными компетенциями (профессиональными областями деятельности) с учетом реализации проекта "Билет в будущее"</w:t>
            </w:r>
          </w:p>
        </w:tc>
      </w:tr>
      <w:tr w:rsidR="001B2DA7">
        <w:trPr>
          <w:trHeight w:hRule="exact" w:val="1676"/>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2435"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c>
          <w:tcPr>
            <w:tcW w:w="300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1B2DA7" w:rsidRDefault="001B2DA7"/>
        </w:tc>
      </w:tr>
    </w:tbl>
    <w:p w:rsidR="00A15B55" w:rsidRDefault="00A15B55"/>
    <w:sectPr w:rsidR="00A15B55">
      <w:pgSz w:w="16834" w:h="11909" w:orient="landscape"/>
      <w:pgMar w:top="1134" w:right="576" w:bottom="526" w:left="576" w:header="1134" w:footer="52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quot;n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
  <w:rsids>
    <w:rsidRoot w:val="001B2DA7"/>
    <w:rsid w:val="0006629B"/>
    <w:rsid w:val="000770A4"/>
    <w:rsid w:val="00103A04"/>
    <w:rsid w:val="00146454"/>
    <w:rsid w:val="001B2DA7"/>
    <w:rsid w:val="003D511D"/>
    <w:rsid w:val="0092130A"/>
    <w:rsid w:val="00980AA2"/>
    <w:rsid w:val="00A15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10104</Words>
  <Characters>57595</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RP_Uspex_kazhdogo_rebenka_(Leningradskaya_oblast')</vt:lpstr>
    </vt:vector>
  </TitlesOfParts>
  <Company>Stimulsoft Reports 2018.2.2 from 26 April 2018</Company>
  <LinksUpToDate>false</LinksUpToDate>
  <CharactersWithSpaces>67564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RP_Uspex_kazhdogo_rebenka_(Leningradskaya_oblast')</dc:title>
  <dc:subject>RP_Uspex_kazhdogo_rebenka_(Leningradskaya_oblast')</dc:subject>
  <dc:creator>Марина Ивановна Орлова</dc:creator>
  <cp:lastModifiedBy>Марина Ивановна Орлова</cp:lastModifiedBy>
  <cp:revision>2</cp:revision>
  <dcterms:created xsi:type="dcterms:W3CDTF">2019-06-10T14:36:00Z</dcterms:created>
  <dcterms:modified xsi:type="dcterms:W3CDTF">2019-06-10T14:36:00Z</dcterms:modified>
</cp:coreProperties>
</file>