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FF" w:rsidRDefault="000056EF">
      <w:pPr>
        <w:pStyle w:val="1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РЕГИОНАЛЬНЫЕ </w:t>
      </w:r>
      <w:r w:rsidR="00E1110D">
        <w:rPr>
          <w:rFonts w:ascii="Tinos" w:hAnsi="Tinos"/>
          <w:sz w:val="26"/>
          <w:szCs w:val="26"/>
        </w:rPr>
        <w:t xml:space="preserve">МЕРЫ СОЦИАЛЬНОЙ ПОДДЕРЖКИ </w:t>
      </w:r>
    </w:p>
    <w:p w:rsidR="00C840FF" w:rsidRPr="00A02E87" w:rsidRDefault="00E1110D">
      <w:pPr>
        <w:pStyle w:val="1"/>
        <w:rPr>
          <w:rFonts w:ascii="Tinos" w:hAnsi="Tinos"/>
          <w:sz w:val="26"/>
          <w:szCs w:val="26"/>
          <w:u w:val="single"/>
        </w:rPr>
      </w:pPr>
      <w:r w:rsidRPr="00A02E87">
        <w:rPr>
          <w:rFonts w:ascii="Tinos" w:hAnsi="Tinos"/>
          <w:sz w:val="26"/>
          <w:szCs w:val="26"/>
          <w:u w:val="single"/>
        </w:rPr>
        <w:t>ДЛЯ МНОГОДЕТНЫХ СЕМЕЙ С ДЕТЬМИ</w:t>
      </w:r>
    </w:p>
    <w:p w:rsidR="00C840FF" w:rsidRDefault="00C840FF">
      <w:pPr>
        <w:pStyle w:val="Firstlineindent"/>
        <w:rPr>
          <w:rFonts w:ascii="Tinos" w:hAnsi="Tinos"/>
          <w:sz w:val="26"/>
          <w:szCs w:val="26"/>
        </w:rPr>
      </w:pPr>
    </w:p>
    <w:p w:rsidR="00C840FF" w:rsidRDefault="00E1110D">
      <w:pPr>
        <w:pStyle w:val="Textbody"/>
        <w:spacing w:after="283"/>
      </w:pPr>
      <w:r>
        <w:rPr>
          <w:rFonts w:ascii="Tinos" w:hAnsi="Tinos"/>
          <w:b/>
          <w:bCs/>
          <w:sz w:val="26"/>
          <w:szCs w:val="26"/>
        </w:rPr>
        <w:t>1.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bCs/>
          <w:sz w:val="26"/>
          <w:szCs w:val="26"/>
        </w:rPr>
        <w:t>Ежемесячная денежная выплата многодетной семье на оплату жил</w:t>
      </w:r>
      <w:bookmarkStart w:id="0" w:name="_GoBack"/>
      <w:bookmarkEnd w:id="0"/>
      <w:r>
        <w:rPr>
          <w:rFonts w:ascii="Tinos" w:hAnsi="Tinos"/>
          <w:b/>
          <w:bCs/>
          <w:sz w:val="26"/>
          <w:szCs w:val="26"/>
        </w:rPr>
        <w:t>ого помещения и коммунальных услуг.</w:t>
      </w:r>
    </w:p>
    <w:p w:rsidR="00C840FF" w:rsidRDefault="00E1110D">
      <w:pPr>
        <w:pStyle w:val="Textbody"/>
        <w:spacing w:after="283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Критерий нуждаемости для получения ЕДВ (среднедушевой доход на 1 члена семьи 37 984,00 рублей).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i/>
          <w:sz w:val="26"/>
          <w:szCs w:val="26"/>
        </w:rPr>
        <w:t xml:space="preserve">Размер выплаты  </w:t>
      </w:r>
      <w:r>
        <w:rPr>
          <w:rFonts w:ascii="Tinos" w:hAnsi="Tinos"/>
          <w:b/>
          <w:i/>
          <w:sz w:val="26"/>
          <w:szCs w:val="26"/>
        </w:rPr>
        <w:t>2 704,00</w:t>
      </w:r>
      <w:r>
        <w:rPr>
          <w:rFonts w:ascii="Tinos" w:hAnsi="Tinos"/>
          <w:i/>
          <w:sz w:val="26"/>
          <w:szCs w:val="26"/>
        </w:rPr>
        <w:t xml:space="preserve"> рублей.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b/>
          <w:bCs/>
          <w:sz w:val="26"/>
          <w:szCs w:val="26"/>
        </w:rPr>
        <w:t>2.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bCs/>
          <w:sz w:val="26"/>
          <w:szCs w:val="26"/>
        </w:rPr>
        <w:t>Ежегодная денежная выплата на приобретение одежды для посещения учебных занятий, а также спортивной формы для ребенка, обучающегося в общеобразовательной организации.</w:t>
      </w:r>
    </w:p>
    <w:p w:rsidR="00C840FF" w:rsidRDefault="00E1110D">
      <w:pPr>
        <w:pStyle w:val="Textbody"/>
        <w:spacing w:after="283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Критерий нуждаемости для получения выплаты - среднедушевой доход на 1 члена семьи не должен превышать 37 984,00 рублей.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i/>
          <w:sz w:val="26"/>
          <w:szCs w:val="26"/>
        </w:rPr>
        <w:t xml:space="preserve">Размер выплаты составляет  </w:t>
      </w:r>
      <w:r>
        <w:rPr>
          <w:rFonts w:ascii="Tinos" w:hAnsi="Tinos"/>
          <w:b/>
          <w:i/>
          <w:sz w:val="26"/>
          <w:szCs w:val="26"/>
        </w:rPr>
        <w:t>10 816,00</w:t>
      </w:r>
      <w:r>
        <w:rPr>
          <w:rFonts w:ascii="Tinos" w:hAnsi="Tinos"/>
          <w:i/>
          <w:sz w:val="26"/>
          <w:szCs w:val="26"/>
        </w:rPr>
        <w:t xml:space="preserve"> рублей на каждого школьника.</w:t>
      </w:r>
    </w:p>
    <w:p w:rsidR="00C840FF" w:rsidRDefault="00E1110D">
      <w:pPr>
        <w:pStyle w:val="Textbody"/>
        <w:spacing w:after="283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Обращаем внимание, что за ежегодной выплатой можно обратиться в течение календарного года один раз.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sz w:val="26"/>
          <w:szCs w:val="26"/>
        </w:rPr>
        <w:t xml:space="preserve">Выплата назначается на совместно проживающих детей, обучающихся на дату подачи заявления в школе по очной форме обучения многодетным семьям, </w:t>
      </w:r>
      <w:r>
        <w:rPr>
          <w:rFonts w:ascii="Tinos" w:hAnsi="Tinos"/>
          <w:b/>
          <w:bCs/>
          <w:sz w:val="26"/>
          <w:szCs w:val="26"/>
        </w:rPr>
        <w:t>оформившим удостоверение многодетной семьи</w:t>
      </w:r>
      <w:r>
        <w:rPr>
          <w:rFonts w:ascii="Tinos" w:hAnsi="Tinos"/>
          <w:sz w:val="26"/>
          <w:szCs w:val="26"/>
        </w:rPr>
        <w:t>!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b/>
          <w:bCs/>
          <w:sz w:val="26"/>
          <w:szCs w:val="26"/>
        </w:rPr>
        <w:t>3.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bCs/>
          <w:sz w:val="26"/>
          <w:szCs w:val="26"/>
        </w:rPr>
        <w:t>Ежемесячная денежная выплата на проезд детей, обучающихся в общеобразовательной организации по очной форме обучения</w:t>
      </w:r>
      <w:r>
        <w:rPr>
          <w:rFonts w:ascii="Tinos" w:eastAsia="Times New Roman" w:hAnsi="Tinos" w:cs="Times New Roman"/>
          <w:b/>
          <w:bCs/>
          <w:color w:val="000000"/>
          <w:sz w:val="26"/>
          <w:szCs w:val="26"/>
        </w:rPr>
        <w:t>.</w:t>
      </w:r>
    </w:p>
    <w:p w:rsidR="00C840FF" w:rsidRDefault="00E1110D">
      <w:pPr>
        <w:pStyle w:val="Textbody"/>
        <w:spacing w:after="283"/>
      </w:pPr>
      <w:r>
        <w:rPr>
          <w:rFonts w:ascii="Tinos" w:eastAsia="Times New Roman" w:hAnsi="Tinos" w:cs="Times New Roman"/>
          <w:color w:val="000000"/>
          <w:sz w:val="26"/>
          <w:szCs w:val="26"/>
        </w:rPr>
        <w:t>Критерий нуждаемости для получения ЕДВ (среднедушевой доход на 1 члена семьи 18 992,00 рублей).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i/>
          <w:iCs/>
          <w:sz w:val="26"/>
          <w:szCs w:val="26"/>
        </w:rPr>
        <w:t xml:space="preserve">Размер выплаты составляет </w:t>
      </w:r>
      <w:r>
        <w:rPr>
          <w:rFonts w:ascii="Tinos" w:eastAsia="Times New Roman" w:hAnsi="Tinos" w:cs="Times New Roman"/>
          <w:b/>
          <w:bCs/>
          <w:i/>
          <w:iCs/>
          <w:color w:val="000000"/>
          <w:sz w:val="26"/>
          <w:szCs w:val="26"/>
        </w:rPr>
        <w:t>668,00</w:t>
      </w:r>
      <w:r>
        <w:rPr>
          <w:rFonts w:ascii="Tinos" w:eastAsia="Times New Roman" w:hAnsi="Tinos" w:cs="Times New Roman"/>
          <w:i/>
          <w:iCs/>
          <w:color w:val="000000"/>
          <w:sz w:val="26"/>
          <w:szCs w:val="26"/>
        </w:rPr>
        <w:t xml:space="preserve"> рубля на каждого школьника.</w:t>
      </w:r>
    </w:p>
    <w:p w:rsidR="00C840FF" w:rsidRDefault="00E1110D">
      <w:pPr>
        <w:pStyle w:val="Textbody"/>
        <w:spacing w:after="283"/>
        <w:rPr>
          <w:rFonts w:ascii="Tinos" w:hAnsi="Tinos"/>
          <w:b/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Внимание:</w:t>
      </w:r>
    </w:p>
    <w:p w:rsidR="00C840FF" w:rsidRDefault="00E1110D">
      <w:pPr>
        <w:pStyle w:val="Textbody"/>
        <w:spacing w:after="283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- если брак не расторгнут, в составе семьи учитываются оба родителя независимо от наличия алиментных отношений;</w:t>
      </w:r>
    </w:p>
    <w:p w:rsidR="00C840FF" w:rsidRDefault="00E1110D">
      <w:pPr>
        <w:pStyle w:val="Textbody"/>
        <w:spacing w:after="283"/>
        <w:rPr>
          <w:rFonts w:ascii="Tinos" w:hAnsi="Tinos"/>
          <w:i/>
          <w:iCs/>
          <w:sz w:val="26"/>
          <w:szCs w:val="26"/>
        </w:rPr>
      </w:pPr>
      <w:r>
        <w:rPr>
          <w:rFonts w:ascii="Tinos" w:hAnsi="Tinos"/>
          <w:i/>
          <w:iCs/>
          <w:sz w:val="26"/>
          <w:szCs w:val="26"/>
        </w:rPr>
        <w:t>- если брак расторгнут, не заключался, но установлено отцовство – обязательно представляются сведения об алиментах на содержание детей.</w:t>
      </w:r>
    </w:p>
    <w:p w:rsidR="00C840FF" w:rsidRDefault="00E1110D">
      <w:pPr>
        <w:pStyle w:val="Textbody"/>
        <w:spacing w:after="283"/>
        <w:rPr>
          <w:rFonts w:ascii="Tinos" w:hAnsi="Tinos"/>
          <w:b/>
          <w:iCs/>
          <w:sz w:val="26"/>
          <w:szCs w:val="26"/>
        </w:rPr>
      </w:pPr>
      <w:r>
        <w:rPr>
          <w:rFonts w:ascii="Tinos" w:hAnsi="Tinos"/>
          <w:b/>
          <w:iCs/>
          <w:sz w:val="26"/>
          <w:szCs w:val="26"/>
        </w:rPr>
        <w:t>4. Областной материнский (семейный) капитал.</w:t>
      </w:r>
    </w:p>
    <w:p w:rsidR="00C840FF" w:rsidRDefault="00E1110D">
      <w:pPr>
        <w:pStyle w:val="Textbody"/>
        <w:spacing w:after="283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Критерий нуждаемости для получения выплаты - среднедушевой доход на 1 члена семьи не должен превышать 37 984,00 рублей.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i/>
          <w:sz w:val="26"/>
          <w:szCs w:val="26"/>
        </w:rPr>
        <w:t xml:space="preserve">Размер выплаты составляет </w:t>
      </w:r>
      <w:r>
        <w:rPr>
          <w:rFonts w:ascii="Tinos" w:hAnsi="Tinos"/>
          <w:b/>
          <w:i/>
          <w:sz w:val="26"/>
          <w:szCs w:val="26"/>
        </w:rPr>
        <w:t>138 698</w:t>
      </w:r>
      <w:r>
        <w:rPr>
          <w:rFonts w:ascii="Tinos" w:hAnsi="Tinos"/>
          <w:i/>
          <w:sz w:val="26"/>
          <w:szCs w:val="26"/>
        </w:rPr>
        <w:t xml:space="preserve"> рубля.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b/>
          <w:sz w:val="26"/>
          <w:szCs w:val="26"/>
        </w:rPr>
        <w:lastRenderedPageBreak/>
        <w:t xml:space="preserve">5. </w:t>
      </w:r>
      <w:hyperlink r:id="rId6">
        <w:r>
          <w:rPr>
            <w:rStyle w:val="a9"/>
            <w:b/>
            <w:color w:val="auto"/>
            <w:sz w:val="26"/>
            <w:szCs w:val="26"/>
            <w:u w:val="none"/>
          </w:rPr>
          <w:t>Социальная выплата многодетной семье на приобретение жилого помещения взамен предоставления в собственность бесплатно земельного участка</w:t>
        </w:r>
      </w:hyperlink>
      <w:r>
        <w:rPr>
          <w:b/>
          <w:sz w:val="26"/>
          <w:szCs w:val="26"/>
        </w:rPr>
        <w:t>.</w:t>
      </w:r>
    </w:p>
    <w:p w:rsidR="00C840FF" w:rsidRDefault="00E1110D">
      <w:pPr>
        <w:pStyle w:val="Textbody"/>
        <w:spacing w:after="283"/>
      </w:pPr>
      <w:r>
        <w:rPr>
          <w:rFonts w:ascii="Tinos" w:hAnsi="Tinos"/>
          <w:i/>
          <w:sz w:val="26"/>
          <w:szCs w:val="26"/>
        </w:rPr>
        <w:t xml:space="preserve">Размер выплаты составляет </w:t>
      </w:r>
      <w:r>
        <w:rPr>
          <w:rFonts w:ascii="Tinos" w:hAnsi="Tinos"/>
          <w:b/>
          <w:i/>
          <w:sz w:val="26"/>
          <w:szCs w:val="26"/>
        </w:rPr>
        <w:t>324 480</w:t>
      </w:r>
      <w:r>
        <w:rPr>
          <w:rFonts w:ascii="Tinos" w:hAnsi="Tinos"/>
          <w:i/>
          <w:sz w:val="26"/>
          <w:szCs w:val="26"/>
        </w:rPr>
        <w:t xml:space="preserve"> рублей.</w:t>
      </w:r>
    </w:p>
    <w:p w:rsidR="00C840FF" w:rsidRDefault="00E1110D">
      <w:pPr>
        <w:jc w:val="both"/>
      </w:pPr>
      <w:r>
        <w:rPr>
          <w:rFonts w:ascii="Tinos" w:hAnsi="Tinos"/>
          <w:sz w:val="26"/>
          <w:szCs w:val="26"/>
        </w:rPr>
        <w:t>Для обращения в УСЗН за соцвыплатой семья должна состоять в очереди на обеспечение земельным участком. По данному вопросу  д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</w:rPr>
        <w:t>ля уточнения правовых оснований обращаться в Комитет по управлению имуществом и земельным отношениям Сосновского муниципального округа в приемные дни: понедельник, вторник, среда – с 9-00 до 13-00 ч.</w:t>
      </w:r>
    </w:p>
    <w:p w:rsidR="00C840FF" w:rsidRDefault="00E1110D">
      <w:pPr>
        <w:widowControl/>
        <w:jc w:val="both"/>
        <w:textAlignment w:val="auto"/>
        <w:rPr>
          <w:rFonts w:ascii="Times New Roman" w:eastAsia="Calibri" w:hAnsi="Times New Roman" w:cs="Times New Roman"/>
          <w:bCs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</w:rPr>
        <w:t>по адресу: с. Долгодеревенское, пер. Школьный, д.7, кабинет 9, телефон для консультации 8(35144)9-03-57, 9-03-56</w:t>
      </w:r>
      <w:bookmarkStart w:id="1" w:name="_Hlk149216395"/>
      <w:bookmarkEnd w:id="1"/>
    </w:p>
    <w:p w:rsidR="00C840FF" w:rsidRDefault="00C840FF">
      <w:pPr>
        <w:pStyle w:val="Textbody"/>
        <w:spacing w:after="283"/>
        <w:rPr>
          <w:rFonts w:ascii="Tinos" w:hAnsi="Tinos"/>
          <w:sz w:val="26"/>
          <w:szCs w:val="26"/>
        </w:rPr>
      </w:pPr>
    </w:p>
    <w:p w:rsidR="00C840FF" w:rsidRDefault="00E1110D">
      <w:pPr>
        <w:pStyle w:val="Textbody"/>
        <w:spacing w:after="283"/>
        <w:rPr>
          <w:rFonts w:ascii="Tinos" w:hAnsi="Tinos"/>
          <w:b/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6. Оформление удостоверения многодетной семьи.</w:t>
      </w:r>
    </w:p>
    <w:p w:rsidR="00C840FF" w:rsidRDefault="00E1110D">
      <w:pPr>
        <w:pStyle w:val="a4"/>
        <w:spacing w:after="283"/>
        <w:jc w:val="both"/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ногодетной семьей в Челябинской области признается семья:</w:t>
      </w:r>
    </w:p>
    <w:p w:rsidR="00C840FF" w:rsidRDefault="00E1110D">
      <w:pPr>
        <w:pStyle w:val="a4"/>
        <w:spacing w:after="28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постоянно проживающая на территории Челябинской области</w:t>
      </w:r>
    </w:p>
    <w:p w:rsidR="00C840FF" w:rsidRDefault="00E1110D">
      <w:pPr>
        <w:pStyle w:val="a4"/>
        <w:spacing w:after="28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имеющая на своем содержании трех и более детей (в том числе усыновленных, взятых под опеку (попечительство), пасынков и падчериц)</w:t>
      </w:r>
    </w:p>
    <w:p w:rsidR="00C840FF" w:rsidRDefault="00E1110D">
      <w:pPr>
        <w:pStyle w:val="a4"/>
        <w:spacing w:after="28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учитываются дети в возрасте до восемнадцати лет, а также дети старше восемнадцати лет, обучающиеся в образовательных организациях по очной форме обучения, но не более чем до достижения ими возраста 23 лет (в том числе усыновленные, взятые под опеку (попечительство), пасынки и падчерицы).</w:t>
      </w:r>
    </w:p>
    <w:p w:rsidR="00C840FF" w:rsidRDefault="00E1110D">
      <w:pPr>
        <w:pStyle w:val="Textbody"/>
        <w:spacing w:after="283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7. Единовременная выплата на приобретение автомобиля для семей, воспитывающих восемь и более несовершеннолетних детей.</w:t>
      </w:r>
    </w:p>
    <w:p w:rsidR="00C840FF" w:rsidRDefault="00E1110D">
      <w:pPr>
        <w:pStyle w:val="ConsPlusNormal"/>
        <w:spacing w:before="240"/>
        <w:ind w:firstLine="540"/>
        <w:jc w:val="both"/>
      </w:pPr>
      <w:r>
        <w:rPr>
          <w:iCs/>
          <w:szCs w:val="26"/>
        </w:rPr>
        <w:t>Право на предоставление единовременной выплаты на приобретение автомобиля (далее именуется - единовременная выплата) имеет один из родителей, усыновителей, совместно проживающий с несовершеннолетними детьми, являющийся гражданином Российской Федерации, зарегистрированный по месту жительства на территории Челябинской области в течение не менее пяти лет, предшествующих дню подачи заявления о предоставлении единовременной выплаты.</w:t>
      </w:r>
    </w:p>
    <w:p w:rsidR="00C840FF" w:rsidRDefault="00C840FF">
      <w:pPr>
        <w:pStyle w:val="ConsPlusNormal"/>
        <w:spacing w:before="240"/>
        <w:ind w:firstLine="540"/>
        <w:jc w:val="both"/>
        <w:rPr>
          <w:iCs/>
          <w:szCs w:val="26"/>
        </w:rPr>
      </w:pPr>
    </w:p>
    <w:p w:rsidR="00C840FF" w:rsidRDefault="00E1110D">
      <w:pPr>
        <w:pStyle w:val="Textbody"/>
        <w:spacing w:after="283"/>
      </w:pPr>
      <w:r>
        <w:rPr>
          <w:rFonts w:ascii="Times New Roman" w:hAnsi="Times New Roman" w:cs="Times New Roman"/>
          <w:iCs/>
          <w:sz w:val="26"/>
          <w:szCs w:val="26"/>
        </w:rPr>
        <w:t>Размер выплаты составляет 1 622 400 рублей.</w:t>
      </w:r>
    </w:p>
    <w:p w:rsidR="00C840FF" w:rsidRDefault="00C840FF">
      <w:pPr>
        <w:pStyle w:val="Textbody"/>
        <w:spacing w:after="283"/>
        <w:rPr>
          <w:rFonts w:ascii="Times New Roman" w:hAnsi="Times New Roman" w:cs="Times New Roman"/>
          <w:b/>
          <w:iCs/>
          <w:sz w:val="26"/>
          <w:szCs w:val="26"/>
        </w:rPr>
      </w:pPr>
    </w:p>
    <w:p w:rsidR="00C840FF" w:rsidRDefault="00C840FF">
      <w:pPr>
        <w:pStyle w:val="Textbody"/>
        <w:spacing w:after="283"/>
        <w:rPr>
          <w:rFonts w:ascii="Times New Roman" w:hAnsi="Times New Roman" w:cs="Times New Roman"/>
          <w:b/>
          <w:iCs/>
          <w:sz w:val="26"/>
          <w:szCs w:val="26"/>
        </w:rPr>
      </w:pPr>
    </w:p>
    <w:p w:rsidR="00C840FF" w:rsidRDefault="00E1110D">
      <w:pPr>
        <w:pStyle w:val="Textbody"/>
        <w:spacing w:after="283"/>
        <w:rPr>
          <w:rFonts w:ascii="Tinos" w:hAnsi="Tinos"/>
          <w:i/>
          <w:iCs/>
          <w:sz w:val="26"/>
          <w:szCs w:val="26"/>
        </w:rPr>
      </w:pPr>
      <w:r>
        <w:rPr>
          <w:rFonts w:ascii="Tinos" w:hAnsi="Tinos"/>
          <w:i/>
          <w:iCs/>
          <w:sz w:val="26"/>
          <w:szCs w:val="26"/>
        </w:rPr>
        <w:t>Справки по мерам поддержки семьям с детьми по телефону: 8(35144)45-3-00(доб. 2)- отдел семьи и детских пособий УСЗН Сосновского округа</w:t>
      </w:r>
    </w:p>
    <w:p w:rsidR="00C840FF" w:rsidRDefault="00C840FF">
      <w:pPr>
        <w:pStyle w:val="Textbody"/>
        <w:spacing w:after="283"/>
        <w:rPr>
          <w:rFonts w:ascii="Tinos" w:hAnsi="Tinos"/>
          <w:i/>
          <w:iCs/>
          <w:sz w:val="26"/>
          <w:szCs w:val="26"/>
        </w:rPr>
      </w:pPr>
    </w:p>
    <w:p w:rsidR="00C840FF" w:rsidRDefault="00C840FF"/>
    <w:sectPr w:rsidR="00C84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79" w:rsidRDefault="00626179">
      <w:r>
        <w:separator/>
      </w:r>
    </w:p>
  </w:endnote>
  <w:endnote w:type="continuationSeparator" w:id="0">
    <w:p w:rsidR="00626179" w:rsidRDefault="0062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Segoe Print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C840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C840F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C840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79" w:rsidRDefault="00626179">
      <w:r>
        <w:separator/>
      </w:r>
    </w:p>
  </w:footnote>
  <w:footnote w:type="continuationSeparator" w:id="0">
    <w:p w:rsidR="00626179" w:rsidRDefault="0062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C840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E1110D">
    <w:pPr>
      <w:pStyle w:val="a6"/>
    </w:pPr>
    <w:r>
      <w:fldChar w:fldCharType="begin"/>
    </w:r>
    <w:r>
      <w:instrText xml:space="preserve"> PAGE </w:instrText>
    </w:r>
    <w:r>
      <w:fldChar w:fldCharType="separate"/>
    </w:r>
    <w:r w:rsidR="00A02E8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FF" w:rsidRDefault="00C840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FF"/>
    <w:rsid w:val="000056EF"/>
    <w:rsid w:val="00626179"/>
    <w:rsid w:val="00A02E87"/>
    <w:rsid w:val="00C840FF"/>
    <w:rsid w:val="00E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B67B8-8F08-48B5-B5DC-6D4AE5D2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0C"/>
    <w:pPr>
      <w:widowControl w:val="0"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ru-RU"/>
    </w:rPr>
  </w:style>
  <w:style w:type="paragraph" w:styleId="1">
    <w:name w:val="heading 1"/>
    <w:basedOn w:val="a"/>
    <w:next w:val="Firstlineindent"/>
    <w:link w:val="10"/>
    <w:qFormat/>
    <w:rsid w:val="0042030C"/>
    <w:pPr>
      <w:jc w:val="center"/>
      <w:outlineLvl w:val="0"/>
    </w:pPr>
    <w:rPr>
      <w:rFonts w:ascii="PT Astra Serif" w:eastAsia="PT Astra Serif" w:hAnsi="PT Astra Serif" w:cs="PT Astra Serif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2030C"/>
    <w:rPr>
      <w:rFonts w:ascii="PT Astra Serif" w:eastAsia="PT Astra Serif" w:hAnsi="PT Astra Serif" w:cs="PT Astra Serif"/>
      <w:b/>
      <w:kern w:val="2"/>
      <w:sz w:val="21"/>
      <w:szCs w:val="24"/>
      <w:lang w:eastAsia="ru-RU"/>
    </w:rPr>
  </w:style>
  <w:style w:type="character" w:customStyle="1" w:styleId="a3">
    <w:name w:val="Заголовок Знак"/>
    <w:basedOn w:val="a0"/>
    <w:link w:val="a4"/>
    <w:qFormat/>
    <w:rsid w:val="0042030C"/>
    <w:rPr>
      <w:rFonts w:ascii="PT Astra Serif" w:eastAsia="PT Astra Serif" w:hAnsi="PT Astra Serif" w:cs="PT Astra Serif"/>
      <w:b/>
      <w:kern w:val="2"/>
      <w:sz w:val="21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42030C"/>
    <w:rPr>
      <w:rFonts w:ascii="PT Astra Serif" w:eastAsia="PT Astra Serif" w:hAnsi="PT Astra Serif" w:cs="PT Astra Serif"/>
      <w:kern w:val="2"/>
      <w:sz w:val="21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42030C"/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styleId="a9">
    <w:name w:val="Hyperlink"/>
    <w:basedOn w:val="a0"/>
    <w:rsid w:val="0042030C"/>
    <w:rPr>
      <w:color w:val="0000FF"/>
      <w:u w:val="single"/>
    </w:rPr>
  </w:style>
  <w:style w:type="paragraph" w:styleId="a4">
    <w:name w:val="Title"/>
    <w:basedOn w:val="a"/>
    <w:next w:val="Firstlineindent"/>
    <w:link w:val="a3"/>
    <w:qFormat/>
    <w:rsid w:val="0042030C"/>
    <w:pPr>
      <w:spacing w:after="170"/>
      <w:jc w:val="center"/>
    </w:pPr>
    <w:rPr>
      <w:rFonts w:ascii="PT Astra Serif" w:eastAsia="PT Astra Serif" w:hAnsi="PT Astra Serif" w:cs="PT Astra Serif"/>
      <w:b/>
      <w:sz w:val="21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Textbody">
    <w:name w:val="Text body"/>
    <w:basedOn w:val="a"/>
    <w:qFormat/>
    <w:rsid w:val="0042030C"/>
    <w:pPr>
      <w:jc w:val="both"/>
    </w:pPr>
    <w:rPr>
      <w:rFonts w:ascii="PT Astra Serif" w:eastAsia="PT Astra Serif" w:hAnsi="PT Astra Serif" w:cs="PT Astra Serif"/>
      <w:sz w:val="28"/>
    </w:rPr>
  </w:style>
  <w:style w:type="paragraph" w:customStyle="1" w:styleId="Firstlineindent">
    <w:name w:val="First line indent"/>
    <w:basedOn w:val="a"/>
    <w:qFormat/>
    <w:rsid w:val="0042030C"/>
    <w:pPr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rsid w:val="0042030C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1"/>
    </w:rPr>
  </w:style>
  <w:style w:type="paragraph" w:styleId="a8">
    <w:name w:val="footer"/>
    <w:basedOn w:val="a"/>
    <w:link w:val="a7"/>
    <w:rsid w:val="0042030C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lang w:eastAsia="ru-RU"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oc.gov74.ru/minsoc/mery-socialnoy-podderzhki-grazhdan/socialnaya-podderzhka-semey-s-detmi/mnogodetnaya-semya/socialnaya-vyplata-na-priobretenie-zhilogo-pomeshcheniya-vzamen-predostavleniya-zemelnogo-uchastka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dc:description/>
  <cp:lastModifiedBy>uszn</cp:lastModifiedBy>
  <cp:revision>14</cp:revision>
  <dcterms:created xsi:type="dcterms:W3CDTF">2025-08-07T11:05:00Z</dcterms:created>
  <dcterms:modified xsi:type="dcterms:W3CDTF">2026-03-03T11:23:00Z</dcterms:modified>
  <dc:language>ru-RU</dc:language>
</cp:coreProperties>
</file>