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B5" w:rsidRDefault="00136503" w:rsidP="00F67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03">
        <w:t xml:space="preserve">    </w:t>
      </w:r>
      <w:r w:rsidR="00F6749A" w:rsidRPr="00F6749A">
        <w:rPr>
          <w:rFonts w:ascii="Times New Roman" w:hAnsi="Times New Roman" w:cs="Times New Roman"/>
          <w:b/>
          <w:sz w:val="28"/>
          <w:szCs w:val="28"/>
        </w:rPr>
        <w:t>Тема «</w:t>
      </w:r>
      <w:r w:rsidR="004100B5" w:rsidRPr="00F6749A">
        <w:rPr>
          <w:rFonts w:ascii="Times New Roman" w:hAnsi="Times New Roman" w:cs="Times New Roman"/>
          <w:b/>
          <w:sz w:val="28"/>
          <w:szCs w:val="28"/>
        </w:rPr>
        <w:t>Валютный рынок</w:t>
      </w:r>
      <w:r w:rsidR="00F6749A" w:rsidRPr="00F6749A">
        <w:rPr>
          <w:rFonts w:ascii="Times New Roman" w:hAnsi="Times New Roman" w:cs="Times New Roman"/>
          <w:b/>
          <w:sz w:val="28"/>
          <w:szCs w:val="28"/>
        </w:rPr>
        <w:t>»</w:t>
      </w:r>
    </w:p>
    <w:p w:rsidR="00F6749A" w:rsidRDefault="00F6749A" w:rsidP="009C7095">
      <w:pPr>
        <w:ind w:left="-567" w:right="-426" w:firstLine="567"/>
        <w:rPr>
          <w:rFonts w:ascii="Times New Roman" w:hAnsi="Times New Roman" w:cs="Times New Roman"/>
          <w:bCs/>
          <w:sz w:val="28"/>
          <w:szCs w:val="28"/>
        </w:rPr>
      </w:pPr>
      <w:r w:rsidRPr="00F6749A">
        <w:rPr>
          <w:rFonts w:ascii="Times New Roman" w:hAnsi="Times New Roman" w:cs="Times New Roman"/>
          <w:b/>
          <w:bCs/>
          <w:sz w:val="28"/>
          <w:szCs w:val="28"/>
        </w:rPr>
        <w:t>Валютный рынок</w:t>
      </w:r>
      <w:r w:rsidRPr="00F6749A">
        <w:rPr>
          <w:rFonts w:ascii="Times New Roman" w:hAnsi="Times New Roman" w:cs="Times New Roman"/>
          <w:bCs/>
          <w:sz w:val="28"/>
          <w:szCs w:val="28"/>
        </w:rPr>
        <w:t xml:space="preserve"> — это система устойчивых </w:t>
      </w:r>
      <w:hyperlink r:id="rId5" w:tooltip="Экономические отношения" w:history="1">
        <w:r w:rsidRPr="00F6749A">
          <w:rPr>
            <w:rStyle w:val="a4"/>
            <w:rFonts w:ascii="Times New Roman" w:hAnsi="Times New Roman" w:cs="Times New Roman"/>
            <w:bCs/>
            <w:sz w:val="28"/>
            <w:szCs w:val="28"/>
          </w:rPr>
          <w:t>экономических</w:t>
        </w:r>
      </w:hyperlink>
      <w:r w:rsidRPr="00F6749A">
        <w:rPr>
          <w:rFonts w:ascii="Times New Roman" w:hAnsi="Times New Roman" w:cs="Times New Roman"/>
          <w:bCs/>
          <w:sz w:val="28"/>
          <w:szCs w:val="28"/>
        </w:rPr>
        <w:t> и организационных отношений между банками,</w:t>
      </w:r>
      <w:r w:rsidR="009C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749A">
        <w:rPr>
          <w:rFonts w:ascii="Times New Roman" w:hAnsi="Times New Roman" w:cs="Times New Roman"/>
          <w:bCs/>
          <w:sz w:val="28"/>
          <w:szCs w:val="28"/>
        </w:rPr>
        <w:t>брокерскими фирмами, компаниями, населением</w:t>
      </w:r>
      <w:r w:rsidR="009C7095">
        <w:rPr>
          <w:rFonts w:ascii="Times New Roman" w:hAnsi="Times New Roman" w:cs="Times New Roman"/>
          <w:bCs/>
          <w:sz w:val="28"/>
          <w:szCs w:val="28"/>
        </w:rPr>
        <w:t>, государственными</w:t>
      </w:r>
      <w:r w:rsidRPr="00F6749A">
        <w:rPr>
          <w:rFonts w:ascii="Times New Roman" w:hAnsi="Times New Roman" w:cs="Times New Roman"/>
          <w:bCs/>
          <w:sz w:val="28"/>
          <w:szCs w:val="28"/>
        </w:rPr>
        <w:t xml:space="preserve"> органами   по покупке или продаже иностранной</w:t>
      </w:r>
      <w:r w:rsidR="009C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749A">
        <w:rPr>
          <w:rFonts w:ascii="Times New Roman" w:hAnsi="Times New Roman" w:cs="Times New Roman"/>
          <w:bCs/>
          <w:sz w:val="28"/>
          <w:szCs w:val="28"/>
        </w:rPr>
        <w:t> </w:t>
      </w:r>
      <w:hyperlink r:id="rId6" w:tooltip="Валюта" w:history="1">
        <w:r w:rsidRPr="00F6749A">
          <w:rPr>
            <w:rStyle w:val="a4"/>
            <w:rFonts w:ascii="Times New Roman" w:hAnsi="Times New Roman" w:cs="Times New Roman"/>
            <w:bCs/>
            <w:sz w:val="28"/>
            <w:szCs w:val="28"/>
          </w:rPr>
          <w:t>валюты</w:t>
        </w:r>
      </w:hyperlink>
      <w:r w:rsidRPr="00F6749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70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749A">
        <w:rPr>
          <w:rFonts w:ascii="Times New Roman" w:hAnsi="Times New Roman" w:cs="Times New Roman"/>
          <w:bCs/>
          <w:sz w:val="28"/>
          <w:szCs w:val="28"/>
        </w:rPr>
        <w:t>платежных документов в иностранных валютах, а также операций по движению </w:t>
      </w:r>
      <w:hyperlink r:id="rId7" w:tooltip="Капитал" w:history="1">
        <w:r w:rsidRPr="00F6749A">
          <w:rPr>
            <w:rStyle w:val="a4"/>
            <w:rFonts w:ascii="Times New Roman" w:hAnsi="Times New Roman" w:cs="Times New Roman"/>
            <w:bCs/>
            <w:sz w:val="28"/>
            <w:szCs w:val="28"/>
          </w:rPr>
          <w:t>капитала</w:t>
        </w:r>
      </w:hyperlink>
      <w:r w:rsidR="009C7095">
        <w:rPr>
          <w:rStyle w:val="a4"/>
          <w:rFonts w:ascii="Times New Roman" w:hAnsi="Times New Roman" w:cs="Times New Roman"/>
          <w:bCs/>
          <w:sz w:val="28"/>
          <w:szCs w:val="28"/>
        </w:rPr>
        <w:t xml:space="preserve"> </w:t>
      </w:r>
      <w:r w:rsidRPr="00F6749A">
        <w:rPr>
          <w:rFonts w:ascii="Times New Roman" w:hAnsi="Times New Roman" w:cs="Times New Roman"/>
          <w:bCs/>
          <w:sz w:val="28"/>
          <w:szCs w:val="28"/>
        </w:rPr>
        <w:t> иностранных </w:t>
      </w:r>
      <w:hyperlink r:id="rId8" w:tooltip="Инвестор" w:history="1">
        <w:r w:rsidRPr="00F6749A">
          <w:rPr>
            <w:rStyle w:val="a4"/>
            <w:rFonts w:ascii="Times New Roman" w:hAnsi="Times New Roman" w:cs="Times New Roman"/>
            <w:bCs/>
            <w:sz w:val="28"/>
            <w:szCs w:val="28"/>
          </w:rPr>
          <w:t>инвесторов</w:t>
        </w:r>
      </w:hyperlink>
      <w:r w:rsidRPr="00F6749A">
        <w:rPr>
          <w:rFonts w:ascii="Times New Roman" w:hAnsi="Times New Roman" w:cs="Times New Roman"/>
          <w:bCs/>
          <w:sz w:val="28"/>
          <w:szCs w:val="28"/>
        </w:rPr>
        <w:t>. Эти сделки обеспечивает сеть современных средств связи (СВИФТ, Рейтер и др.).</w:t>
      </w:r>
      <w:r w:rsidR="009C70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7319" w:rsidRDefault="00A47319" w:rsidP="00A47319">
      <w:pPr>
        <w:ind w:left="-567" w:right="-426" w:firstLine="283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80F8BD" wp14:editId="0AD355A9">
            <wp:extent cx="6076950" cy="3990975"/>
            <wp:effectExtent l="0" t="0" r="0" b="9525"/>
            <wp:docPr id="8" name="Рисунок 8" descr="Презентация. Особенности функционирования валютного ры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езентация. Особенности функционирования валютного ры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95" w:rsidRDefault="009C7095" w:rsidP="009C7095">
      <w:pPr>
        <w:spacing w:before="100" w:beforeAutospacing="1" w:after="100" w:afterAutospacing="1" w:line="218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участниками валютного рынка </w:t>
      </w:r>
      <w:proofErr w:type="gram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являются: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Коммерческие банки - 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проводят основной объем валютных операций (85-90%).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мировых валютных рынках наибольшее влияние оказывают крупные международные банки, ежедневный объем операций которых достигает миллиардов долларов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Deutsche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Bank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Union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Bank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Switzerland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Citibank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Chase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Manhattan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Bank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другие.                                                                                                                                                                                                        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 Фирмы, осуществляющие внешнеторговые операции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 Компании, осуществляющие зарубежные вложения активов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например, Ксерокс, Нестле, Дженерал моторс, Бритиш петролеум и другие.</w:t>
      </w:r>
    </w:p>
    <w:p w:rsidR="00A47319" w:rsidRDefault="00A47319" w:rsidP="009C7095">
      <w:pPr>
        <w:spacing w:before="100" w:beforeAutospacing="1" w:after="100" w:afterAutospacing="1" w:line="218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7E07398" wp14:editId="58BF650F">
            <wp:extent cx="4873625" cy="5364374"/>
            <wp:effectExtent l="0" t="0" r="3175" b="8255"/>
            <wp:docPr id="6" name="Рисунок 6" descr="Валютный рынок: сущность и функционирование: Успешное развит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лютный рынок: сущность и функционирование: Успешное развитие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887" cy="537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095" w:rsidRDefault="009C7095" w:rsidP="009C7095">
      <w:pPr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6749A"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целям</w:t>
      </w:r>
      <w:r w:rsidR="00F6749A"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участия в операциях на мировом валютном рынке участники этого рынка поделены на пять групп: </w:t>
      </w:r>
      <w:r w:rsidR="00F6749A" w:rsidRPr="009C709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предприниматели</w:t>
      </w:r>
      <w:r w:rsidR="00F6749A" w:rsidRPr="009C709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, </w:t>
      </w:r>
      <w:proofErr w:type="spellStart"/>
      <w:r w:rsidR="00F6749A" w:rsidRPr="009C709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хеджеры</w:t>
      </w:r>
      <w:proofErr w:type="spellEnd"/>
      <w:r w:rsidR="00F6749A" w:rsidRPr="009C709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, </w:t>
      </w:r>
      <w:r w:rsidR="00F6749A" w:rsidRPr="009C709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спекулянты</w:t>
      </w:r>
      <w:r w:rsidR="00F6749A" w:rsidRPr="009C709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, </w:t>
      </w:r>
      <w:r w:rsidR="00F6749A" w:rsidRPr="009C709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посредники</w:t>
      </w:r>
      <w:r w:rsidR="00F6749A" w:rsidRPr="009C709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и </w:t>
      </w:r>
      <w:r w:rsidR="00F6749A" w:rsidRPr="009C709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органы валютного регулирования</w:t>
      </w:r>
      <w:r w:rsidR="00F6749A" w:rsidRPr="009C709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. </w:t>
      </w:r>
      <w:r w:rsidR="00F6749A"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9C7095" w:rsidRDefault="00F6749A" w:rsidP="009C7095">
      <w:pPr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Предприниматели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— это участники валютного рынка, в задачу которых входит обеспечение валютных операций. Эта категория участников первична по отношению к другим.            </w:t>
      </w:r>
    </w:p>
    <w:p w:rsidR="009C7095" w:rsidRDefault="00F6749A" w:rsidP="009C7095">
      <w:pPr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Хеджеры</w:t>
      </w:r>
      <w:proofErr w:type="spellEnd"/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— это участники валютного рынка, страхующие валютный риск при совершении валютных операций.                                                                                                               </w:t>
      </w:r>
    </w:p>
    <w:p w:rsidR="00F6749A" w:rsidRPr="00210234" w:rsidRDefault="00F6749A" w:rsidP="00210234">
      <w:pPr>
        <w:ind w:left="-567" w:right="-426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Спекулянты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—извлекают прибыль от разницы цен валют во времени, осознанно принимающие валютный </w:t>
      </w:r>
      <w:r w:rsid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риск.</w:t>
      </w:r>
      <w:r w:rsid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Брокеры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это биржевые посредники, осуществляющие валютные операции за счет и по поручению</w:t>
      </w:r>
      <w:r w:rsidR="002102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клиентов.</w:t>
      </w:r>
      <w:r w:rsid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1023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Дилеры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действуют на валютном рынке от своего лица и за свой счет (быки и медведи).</w:t>
      </w:r>
    </w:p>
    <w:p w:rsid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360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По </w:t>
      </w:r>
      <w:r w:rsidRPr="00D3360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месту проведения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различают </w:t>
      </w: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биржевой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внебиржевой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секторы валютного рынка.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Биржевой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валютный рынок — это торговля валютой на специально организованных </w:t>
      </w: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валютных биржах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внебиржевом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рынке торговля валютой ведется в основном между коммерческими банками.</w:t>
      </w:r>
    </w:p>
    <w:p w:rsidR="00A47319" w:rsidRPr="00D33605" w:rsidRDefault="00A47319" w:rsidP="00A47319">
      <w:pPr>
        <w:shd w:val="clear" w:color="auto" w:fill="FFFFFF"/>
        <w:spacing w:before="180" w:after="0" w:line="270" w:lineRule="atLeast"/>
        <w:ind w:left="-567" w:right="-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D31274" wp14:editId="4A77C9BA">
            <wp:extent cx="3257550" cy="1932445"/>
            <wp:effectExtent l="0" t="0" r="0" b="0"/>
            <wp:docPr id="5" name="Рисунок 5" descr="Обзор валютного рынка: Валютный рынок отчаянно пытается найт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зор валютного рынка: Валютный рынок отчаянно пытается найти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65" cy="194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319">
        <w:t xml:space="preserve"> </w:t>
      </w:r>
      <w:r>
        <w:rPr>
          <w:noProof/>
          <w:lang w:eastAsia="ru-RU"/>
        </w:rPr>
        <w:drawing>
          <wp:inline distT="0" distB="0" distL="0" distR="0">
            <wp:extent cx="3225828" cy="1952625"/>
            <wp:effectExtent l="0" t="0" r="0" b="0"/>
            <wp:docPr id="11" name="Рисунок 11" descr="Отличие и общие черты биржевого валютного рынка и внебиржев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личие и общие черты биржевого валютного рынка и внебиржевог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333" cy="195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234" w:rsidRDefault="00210234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33605" w:rsidRP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360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зависимости от формы расчетов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различают </w:t>
      </w:r>
      <w:r w:rsidRPr="00D3360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наличный и безналичный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секторы валютного рынка.</w:t>
      </w:r>
    </w:p>
    <w:p w:rsidR="00D33605" w:rsidRP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360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зависимости от срока проведения операций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различают </w:t>
      </w:r>
      <w:r w:rsidRPr="00D3360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текущий и срочный</w:t>
      </w: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валютный рынок.</w:t>
      </w:r>
    </w:p>
    <w:p w:rsid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6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Наиболее объемным сектором валютной биржи является срочный валютный рынок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Срочный рынок делится на 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фьючерсный</w:t>
      </w:r>
      <w:r w:rsidRPr="009C70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форвардный. </w:t>
      </w:r>
    </w:p>
    <w:p w:rsidR="00D33605" w:rsidRPr="009C709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09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Форвардный контракт 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—это </w:t>
      </w:r>
      <w:r w:rsidRPr="00D3360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срочные сделки за наличный расчет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соответствии с которыми покупатель и продавец соглашаются на покупку (продажу) </w:t>
      </w:r>
      <w:r w:rsidRPr="00D33605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валюты на определенную дату в будущем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10234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Условия: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210234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курс сделки фиксируется в момент ее заключения;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10234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передача валюты осуществляется через определенный период </w:t>
      </w:r>
      <w:proofErr w:type="gramStart"/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( 1</w:t>
      </w:r>
      <w:proofErr w:type="gramEnd"/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2, 3, 6 месяцев а иногда 1год);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D33605" w:rsidRPr="009C709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в момент заключения сделки никакие задатки или другие суммы обычно не переводятся.</w:t>
      </w:r>
    </w:p>
    <w:p w:rsidR="00D33605" w:rsidRP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9C7095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Фьючерсный контракт 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—это </w:t>
      </w:r>
      <w:r w:rsidRPr="00D3360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соглашение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между двумя сторонами </w:t>
      </w:r>
      <w:r w:rsidRPr="00D33605">
        <w:rPr>
          <w:rFonts w:ascii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 покупке или продаже валюты на определенную сумму по заранее согласованной цене (курсу) в течение определенного срока в будущем (в определенный день).</w:t>
      </w:r>
    </w:p>
    <w:p w:rsid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10234" w:rsidRDefault="00210234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605" w:rsidRPr="00D33605" w:rsidRDefault="00D33605" w:rsidP="00D3360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36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Отличия фьючерсного и форвардного валютных рынков</w:t>
      </w:r>
    </w:p>
    <w:tbl>
      <w:tblPr>
        <w:tblW w:w="10750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520"/>
        <w:gridCol w:w="3544"/>
      </w:tblGrid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Основные характеристики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Фьючерсный рынок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Форвардный рынок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Контрагенты валютных операций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Продавец — расчетная палата;</w:t>
            </w:r>
            <w:r w:rsidRPr="00D33605">
              <w:rPr>
                <w:lang w:eastAsia="ru-RU"/>
              </w:rPr>
              <w:br/>
              <w:t>покупатель — биржа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Продавец-покупатель — коммерческие банки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Размер и срок исполнения валютного контракта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Стандартные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Определяются в индивидуальном порядке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Ценообразование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На основе движения биржевых котировок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Свободное соглашение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Реальная поставка валюты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Нет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Есть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Доступность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Без ограничений, но через брокеров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Ограничена кругом клиентов банка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Гарантии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Резервный депозит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Устанавливается в индивидуальном порядке</w:t>
            </w:r>
          </w:p>
        </w:tc>
      </w:tr>
      <w:tr w:rsidR="00D33605" w:rsidRPr="00D33605" w:rsidTr="00D33605">
        <w:tc>
          <w:tcPr>
            <w:tcW w:w="368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Информационная прозрачность</w:t>
            </w:r>
          </w:p>
        </w:tc>
        <w:tc>
          <w:tcPr>
            <w:tcW w:w="352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Высока</w:t>
            </w:r>
          </w:p>
        </w:tc>
        <w:tc>
          <w:tcPr>
            <w:tcW w:w="3544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33605" w:rsidRPr="00D33605" w:rsidRDefault="00D33605" w:rsidP="00D33605">
            <w:pPr>
              <w:pStyle w:val="a7"/>
              <w:rPr>
                <w:lang w:eastAsia="ru-RU"/>
              </w:rPr>
            </w:pPr>
            <w:r w:rsidRPr="00D33605">
              <w:rPr>
                <w:lang w:eastAsia="ru-RU"/>
              </w:rPr>
              <w:t>Ограничена</w:t>
            </w:r>
          </w:p>
        </w:tc>
      </w:tr>
    </w:tbl>
    <w:p w:rsidR="00210234" w:rsidRDefault="00A47319" w:rsidP="009C709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a6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10234">
        <w:rPr>
          <w:noProof/>
          <w:lang w:eastAsia="ru-RU"/>
        </w:rPr>
        <w:drawing>
          <wp:inline distT="0" distB="0" distL="0" distR="0" wp14:anchorId="2C826926" wp14:editId="2208A123">
            <wp:extent cx="4095750" cy="2539944"/>
            <wp:effectExtent l="0" t="0" r="0" b="0"/>
            <wp:docPr id="7" name="Рисунок 7" descr="Валютный рынок и его будущ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лютный рынок и его будуще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277" cy="255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49A" w:rsidRPr="009C7095" w:rsidRDefault="00F6749A" w:rsidP="009C709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Девальвация и ревальвация</w:t>
      </w:r>
      <w:r w:rsidR="00A473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F6749A" w:rsidRPr="009C7095" w:rsidRDefault="00F6749A" w:rsidP="009C709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a3"/>
      <w:bookmarkEnd w:id="1"/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Девальвация —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снижение курса национальной валюты по отношению к иностранным валютам или международным счетным денежным единицам. Объективной основой является завышение официального валютного курса по сравнению с реальной покупательной способностью денежных единиц;</w:t>
      </w:r>
    </w:p>
    <w:p w:rsidR="00F6749A" w:rsidRPr="009C7095" w:rsidRDefault="00F6749A" w:rsidP="009C7095">
      <w:pPr>
        <w:shd w:val="clear" w:color="auto" w:fill="FFFFFF"/>
        <w:spacing w:before="180" w:after="0" w:line="270" w:lineRule="atLeast"/>
        <w:ind w:left="-567" w:right="-426" w:firstLine="567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709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Ревальвация </w:t>
      </w:r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— повышение курса национальной валюты по отношению к иностранной валюте. </w:t>
      </w:r>
      <w:proofErr w:type="gramStart"/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Определяя .проценты</w:t>
      </w:r>
      <w:proofErr w:type="gramEnd"/>
      <w:r w:rsidRPr="009C709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девальвации, необходимо принять данную валюту за единицу, разделить курсовую разницу на первоначальный курс и умножить на 100.</w:t>
      </w:r>
    </w:p>
    <w:p w:rsidR="00F6749A" w:rsidRPr="009C7095" w:rsidRDefault="00F6749A" w:rsidP="009C7095">
      <w:pPr>
        <w:pStyle w:val="a3"/>
        <w:spacing w:before="0" w:beforeAutospacing="0" w:after="0" w:afterAutospacing="0"/>
        <w:ind w:left="-709" w:right="-426" w:firstLine="709"/>
        <w:rPr>
          <w:sz w:val="28"/>
          <w:szCs w:val="28"/>
        </w:rPr>
      </w:pPr>
      <w:r w:rsidRPr="009C7095">
        <w:rPr>
          <w:sz w:val="28"/>
          <w:szCs w:val="28"/>
        </w:rPr>
        <w:t>Целенаправленное изменение валютного курса приводит к переключению расходов между национальными и иностранными товарами. Девальвация делает национальные товары дешевле, а импортные дороже, переключая расходы на национальные товары, что выгодно отечественным производителям продукции.    Ревальвация, напротив, удорожает национальную продукцию и приводит к росту потребления импортных товаров.</w:t>
      </w:r>
    </w:p>
    <w:p w:rsidR="00210234" w:rsidRDefault="00210234" w:rsidP="009C7095">
      <w:pPr>
        <w:pStyle w:val="a3"/>
        <w:spacing w:before="0" w:beforeAutospacing="0" w:after="0" w:afterAutospacing="0"/>
        <w:ind w:left="-709" w:right="-426" w:firstLine="709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4E434C" wp14:editId="7A78A00F">
            <wp:extent cx="5248275" cy="3414262"/>
            <wp:effectExtent l="0" t="0" r="0" b="0"/>
            <wp:docPr id="9" name="Рисунок 9" descr="Волатильность вернулась на валютный ры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олатильность вернулась на валютный рыно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656" cy="342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234" w:rsidRDefault="00210234" w:rsidP="009C7095">
      <w:pPr>
        <w:pStyle w:val="a3"/>
        <w:spacing w:before="0" w:beforeAutospacing="0" w:after="0" w:afterAutospacing="0"/>
        <w:ind w:left="-709" w:right="-426" w:firstLine="709"/>
        <w:rPr>
          <w:sz w:val="28"/>
          <w:szCs w:val="28"/>
        </w:rPr>
      </w:pPr>
    </w:p>
    <w:p w:rsidR="00F6749A" w:rsidRPr="009C7095" w:rsidRDefault="00F6749A" w:rsidP="009C7095">
      <w:pPr>
        <w:pStyle w:val="a3"/>
        <w:spacing w:before="0" w:beforeAutospacing="0" w:after="0" w:afterAutospacing="0"/>
        <w:ind w:left="-709" w:right="-426" w:firstLine="709"/>
        <w:rPr>
          <w:sz w:val="28"/>
          <w:szCs w:val="28"/>
        </w:rPr>
      </w:pPr>
      <w:r w:rsidRPr="009C7095">
        <w:rPr>
          <w:sz w:val="28"/>
          <w:szCs w:val="28"/>
        </w:rPr>
        <w:t xml:space="preserve">Задачи валютной политики в России: укрепление валютно-финансового положения страны; восстановление кредитоспособности и платёжеспособности; привлечение иностранных и внутренних инвестиций; устранение утечки капитала; переход к конвертируемости рубля; борьба с легализацией преступных доходов; защита экономики от вливания грязных денег. У РФ существует два основных пути развития валютной политики: </w:t>
      </w:r>
    </w:p>
    <w:p w:rsidR="00F6749A" w:rsidRPr="009C7095" w:rsidRDefault="00F6749A" w:rsidP="009C7095">
      <w:pPr>
        <w:pStyle w:val="a3"/>
        <w:numPr>
          <w:ilvl w:val="0"/>
          <w:numId w:val="1"/>
        </w:numPr>
        <w:tabs>
          <w:tab w:val="clear" w:pos="1308"/>
          <w:tab w:val="num" w:pos="426"/>
        </w:tabs>
        <w:spacing w:before="0" w:beforeAutospacing="0" w:after="0" w:afterAutospacing="0"/>
        <w:ind w:left="-709" w:right="-426" w:firstLine="709"/>
        <w:jc w:val="both"/>
        <w:rPr>
          <w:sz w:val="28"/>
          <w:szCs w:val="28"/>
        </w:rPr>
      </w:pPr>
      <w:r w:rsidRPr="009C7095">
        <w:rPr>
          <w:b/>
          <w:sz w:val="28"/>
          <w:szCs w:val="28"/>
        </w:rPr>
        <w:t>политика слабого рубля</w:t>
      </w:r>
      <w:r w:rsidRPr="009C7095">
        <w:rPr>
          <w:sz w:val="28"/>
          <w:szCs w:val="28"/>
        </w:rPr>
        <w:t xml:space="preserve"> – выгодна экспортерам; они получают преимущество в конкуренции за счёт низкой стоимости своей продукции. Отрицательным моментом является то, что слабый рубль ведёт к застою в экономике, отсутствию инвестиций. Чем ниже курс национальной валюты, тем труднее рассчитаться с долгами; </w:t>
      </w:r>
    </w:p>
    <w:p w:rsidR="00F6749A" w:rsidRPr="009C7095" w:rsidRDefault="00F6749A" w:rsidP="009C7095">
      <w:pPr>
        <w:pStyle w:val="a3"/>
        <w:numPr>
          <w:ilvl w:val="0"/>
          <w:numId w:val="1"/>
        </w:numPr>
        <w:tabs>
          <w:tab w:val="clear" w:pos="1308"/>
          <w:tab w:val="num" w:pos="426"/>
        </w:tabs>
        <w:spacing w:before="0" w:beforeAutospacing="0" w:after="0" w:afterAutospacing="0"/>
        <w:ind w:left="-709" w:right="-426" w:firstLine="709"/>
        <w:jc w:val="both"/>
        <w:rPr>
          <w:sz w:val="28"/>
          <w:szCs w:val="28"/>
        </w:rPr>
      </w:pPr>
      <w:r w:rsidRPr="009C7095">
        <w:rPr>
          <w:b/>
          <w:sz w:val="28"/>
          <w:szCs w:val="28"/>
        </w:rPr>
        <w:t>политика сильного рубля</w:t>
      </w:r>
      <w:r w:rsidRPr="009C7095">
        <w:rPr>
          <w:sz w:val="28"/>
          <w:szCs w:val="28"/>
        </w:rPr>
        <w:t xml:space="preserve"> – </w:t>
      </w:r>
      <w:proofErr w:type="gramStart"/>
      <w:r w:rsidRPr="009C7095">
        <w:rPr>
          <w:sz w:val="28"/>
          <w:szCs w:val="28"/>
        </w:rPr>
        <w:t>снижается  долговое</w:t>
      </w:r>
      <w:proofErr w:type="gramEnd"/>
      <w:r w:rsidRPr="009C7095">
        <w:rPr>
          <w:sz w:val="28"/>
          <w:szCs w:val="28"/>
        </w:rPr>
        <w:t xml:space="preserve"> бремя. Благоприятна только для импортёра – </w:t>
      </w:r>
      <w:proofErr w:type="gramStart"/>
      <w:r w:rsidRPr="009C7095">
        <w:rPr>
          <w:sz w:val="28"/>
          <w:szCs w:val="28"/>
        </w:rPr>
        <w:t>он  будет</w:t>
      </w:r>
      <w:proofErr w:type="gramEnd"/>
      <w:r w:rsidRPr="009C7095">
        <w:rPr>
          <w:sz w:val="28"/>
          <w:szCs w:val="28"/>
        </w:rPr>
        <w:t xml:space="preserve"> свободно ввозить товары и национальные производители будут проигрывать  в конкурентной борьбе. Плюсы - снижение внешнего долга и возможное повышение конкурентоспособности местного производства (тех, кто выживет в борьбе с импортом), ввоз современных технологий, инвестиции.</w:t>
      </w:r>
    </w:p>
    <w:p w:rsidR="00F6749A" w:rsidRPr="009C7095" w:rsidRDefault="00F6749A" w:rsidP="009C7095">
      <w:pPr>
        <w:pStyle w:val="a3"/>
        <w:spacing w:before="0" w:beforeAutospacing="0" w:after="0" w:afterAutospacing="0"/>
        <w:ind w:left="-709" w:right="-426" w:firstLine="709"/>
        <w:rPr>
          <w:sz w:val="28"/>
          <w:szCs w:val="28"/>
        </w:rPr>
      </w:pPr>
      <w:r w:rsidRPr="009C7095">
        <w:rPr>
          <w:b/>
          <w:bCs/>
          <w:sz w:val="28"/>
          <w:szCs w:val="28"/>
        </w:rPr>
        <w:t>Другим инструментом валютного регулирования</w:t>
      </w:r>
      <w:r w:rsidRPr="009C7095">
        <w:rPr>
          <w:sz w:val="28"/>
          <w:szCs w:val="28"/>
        </w:rPr>
        <w:t xml:space="preserve"> являются юридические нормы, определяющие правила ввоза, обмена, в том числе обязательного, и обращения (или запрета на обращение) иностранной валюты внутри страны. Следует отметить, что данный инструмент в сочетании с фиксированным курсом обмена, меньшим, чем рыночный, эквивалентен введению дополнительного налога на экспорт.</w:t>
      </w:r>
    </w:p>
    <w:p w:rsidR="00A47319" w:rsidRDefault="00A47319" w:rsidP="00F6749A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31628F" w:rsidRDefault="00A47319" w:rsidP="00F6749A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E93433" wp14:editId="3D8477A5">
            <wp:extent cx="2483890" cy="1571625"/>
            <wp:effectExtent l="0" t="0" r="0" b="0"/>
            <wp:docPr id="3" name="Рисунок 3" descr="Что такое международный валютный рынок (Fore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то такое международный валютный рынок (Forex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16" cy="158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1628F" w:rsidRPr="0031628F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31628F" w:rsidRPr="0031628F" w:rsidRDefault="0031628F" w:rsidP="00F6749A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31628F">
        <w:rPr>
          <w:rFonts w:ascii="Times New Roman" w:hAnsi="Times New Roman" w:cs="Times New Roman"/>
          <w:b/>
          <w:sz w:val="28"/>
          <w:szCs w:val="28"/>
        </w:rPr>
        <w:t xml:space="preserve"> I. Прочитайте следующие утверждения и укажите, какие из них верны, а какие — ошибочны.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1. Положительный торговый баланс обеспечивает рост курса национальной валюты.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>2. Прямая котировка валюты предполагает приравнивание к единице национальной валюты того или иного количества единиц иностранной валюты.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 3. Падение курса национальной валюты выгодно импортерам товаров.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4. Рост импорта товаров и услуг Соединенных Штатов Америки увеличивает предложение долларов на валютном рынке.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5. Девизная политика предполагает регулирование процентных ставок.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6. Ограничительная внешняя политика при прочих равных условиях приводит к повышению валютного курса страны.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>7. Требования правительства продать часть валютной выручки Центральному банку по рыночному курсу относятся к валютным ограничениям.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 8. Золотой стандарт в основном обеспечивает автоматическое поддержание курсов валют.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1628F">
        <w:rPr>
          <w:rFonts w:ascii="Times New Roman" w:hAnsi="Times New Roman" w:cs="Times New Roman"/>
          <w:sz w:val="28"/>
          <w:szCs w:val="28"/>
        </w:rPr>
        <w:t>Бреттон-Вудская</w:t>
      </w:r>
      <w:proofErr w:type="spellEnd"/>
      <w:r w:rsidRPr="0031628F">
        <w:rPr>
          <w:rFonts w:ascii="Times New Roman" w:hAnsi="Times New Roman" w:cs="Times New Roman"/>
          <w:sz w:val="28"/>
          <w:szCs w:val="28"/>
        </w:rPr>
        <w:t xml:space="preserve"> валютная система была системой плавающих валютных курсов. </w:t>
      </w:r>
    </w:p>
    <w:p w:rsidR="0031628F" w:rsidRDefault="0031628F" w:rsidP="00F6749A">
      <w:pPr>
        <w:ind w:left="-851"/>
        <w:rPr>
          <w:rFonts w:ascii="Times New Roman" w:hAnsi="Times New Roman" w:cs="Times New Roman"/>
          <w:sz w:val="28"/>
          <w:szCs w:val="28"/>
        </w:rPr>
      </w:pPr>
      <w:r w:rsidRPr="0031628F">
        <w:rPr>
          <w:rFonts w:ascii="Times New Roman" w:hAnsi="Times New Roman" w:cs="Times New Roman"/>
          <w:sz w:val="28"/>
          <w:szCs w:val="28"/>
        </w:rPr>
        <w:t xml:space="preserve">10. При положительном сальдо торгового баланса и системе фиксированных валютных курсов можно ожидать роста внутренних цен. </w:t>
      </w:r>
    </w:p>
    <w:p w:rsidR="00210234" w:rsidRDefault="00210234" w:rsidP="00F6749A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210234" w:rsidRPr="00061DB3" w:rsidRDefault="00210234" w:rsidP="002102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210234">
        <w:rPr>
          <w:rFonts w:ascii="Times New Roman" w:hAnsi="Times New Roman" w:cs="Times New Roman"/>
          <w:sz w:val="28"/>
          <w:szCs w:val="28"/>
        </w:rPr>
        <w:t>Валютный рынок</w:t>
      </w:r>
      <w:r w:rsidRPr="009D657D">
        <w:rPr>
          <w:rFonts w:ascii="Times New Roman" w:hAnsi="Times New Roman" w:cs="Times New Roman"/>
          <w:sz w:val="28"/>
          <w:szCs w:val="28"/>
        </w:rPr>
        <w:t>»</w:t>
      </w:r>
      <w:bookmarkStart w:id="2" w:name="_GoBack"/>
      <w:bookmarkEnd w:id="2"/>
    </w:p>
    <w:p w:rsidR="00210234" w:rsidRPr="003F472E" w:rsidRDefault="00210234" w:rsidP="00210234">
      <w:pPr>
        <w:pStyle w:val="a7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210234">
        <w:rPr>
          <w:rFonts w:ascii="Times New Roman" w:hAnsi="Times New Roman" w:cs="Times New Roman"/>
          <w:sz w:val="28"/>
          <w:szCs w:val="28"/>
        </w:rPr>
        <w:t xml:space="preserve">Валютный </w:t>
      </w:r>
      <w:proofErr w:type="gramStart"/>
      <w:r w:rsidRPr="00210234">
        <w:rPr>
          <w:rFonts w:ascii="Times New Roman" w:hAnsi="Times New Roman" w:cs="Times New Roman"/>
          <w:sz w:val="28"/>
          <w:szCs w:val="28"/>
        </w:rPr>
        <w:t>рынок</w:t>
      </w:r>
      <w:r w:rsidRPr="001E30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10234" w:rsidRDefault="00210234" w:rsidP="00210234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210234" w:rsidRDefault="00210234" w:rsidP="00210234">
      <w:pPr>
        <w:pStyle w:val="a7"/>
        <w:ind w:firstLine="426"/>
        <w:rPr>
          <w:rStyle w:val="a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6" w:history="1">
        <w:r w:rsidRPr="0055619C">
          <w:rPr>
            <w:rStyle w:val="a4"/>
            <w:sz w:val="28"/>
            <w:szCs w:val="28"/>
          </w:rPr>
          <w:t>viera.liemieshieva@mail.ru</w:t>
        </w:r>
      </w:hyperlink>
      <w:r>
        <w:rPr>
          <w:rStyle w:val="a4"/>
          <w:sz w:val="28"/>
          <w:szCs w:val="28"/>
        </w:rPr>
        <w:t xml:space="preserve"> </w:t>
      </w:r>
    </w:p>
    <w:p w:rsidR="00210234" w:rsidRDefault="00210234" w:rsidP="00210234">
      <w:pPr>
        <w:pStyle w:val="a3"/>
        <w:spacing w:before="0" w:beforeAutospacing="0" w:after="0" w:afterAutospacing="0" w:line="294" w:lineRule="atLeast"/>
      </w:pPr>
    </w:p>
    <w:p w:rsidR="00210234" w:rsidRDefault="00210234" w:rsidP="00F6749A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21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002"/>
    <w:multiLevelType w:val="multilevel"/>
    <w:tmpl w:val="A418B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E7141"/>
    <w:multiLevelType w:val="multilevel"/>
    <w:tmpl w:val="14382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3411F"/>
    <w:multiLevelType w:val="multilevel"/>
    <w:tmpl w:val="12940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72384"/>
    <w:multiLevelType w:val="multilevel"/>
    <w:tmpl w:val="6908E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93CBB"/>
    <w:multiLevelType w:val="multilevel"/>
    <w:tmpl w:val="07CC7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039CD"/>
    <w:multiLevelType w:val="multilevel"/>
    <w:tmpl w:val="68B2F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166D7"/>
    <w:multiLevelType w:val="multilevel"/>
    <w:tmpl w:val="0826F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B0B33"/>
    <w:multiLevelType w:val="multilevel"/>
    <w:tmpl w:val="B8A04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A04C6"/>
    <w:multiLevelType w:val="multilevel"/>
    <w:tmpl w:val="7A8E0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33BC2"/>
    <w:multiLevelType w:val="multilevel"/>
    <w:tmpl w:val="82C65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45B20"/>
    <w:multiLevelType w:val="hybridMultilevel"/>
    <w:tmpl w:val="9072F918"/>
    <w:lvl w:ilvl="0" w:tplc="D4C4E98E">
      <w:start w:val="1"/>
      <w:numFmt w:val="decimal"/>
      <w:lvlText w:val="%1)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AB18EC"/>
    <w:multiLevelType w:val="multilevel"/>
    <w:tmpl w:val="AB72D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C2ABA"/>
    <w:multiLevelType w:val="multilevel"/>
    <w:tmpl w:val="940E7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42FD2"/>
    <w:multiLevelType w:val="multilevel"/>
    <w:tmpl w:val="A3268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D0AC3"/>
    <w:multiLevelType w:val="multilevel"/>
    <w:tmpl w:val="02827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B5"/>
    <w:rsid w:val="00136503"/>
    <w:rsid w:val="001441C5"/>
    <w:rsid w:val="00210234"/>
    <w:rsid w:val="0031628F"/>
    <w:rsid w:val="004100B5"/>
    <w:rsid w:val="009C7095"/>
    <w:rsid w:val="00A47319"/>
    <w:rsid w:val="00CB7C4B"/>
    <w:rsid w:val="00D33605"/>
    <w:rsid w:val="00F6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0A5"/>
  <w15:chartTrackingRefBased/>
  <w15:docId w15:val="{F9F124A8-9C2E-4330-84E2-A16392E8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7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674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749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4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74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749A"/>
    <w:rPr>
      <w:b/>
      <w:bCs/>
    </w:rPr>
  </w:style>
  <w:style w:type="character" w:customStyle="1" w:styleId="review-h5">
    <w:name w:val="review-h5"/>
    <w:basedOn w:val="a0"/>
    <w:rsid w:val="00F6749A"/>
  </w:style>
  <w:style w:type="character" w:styleId="a6">
    <w:name w:val="Emphasis"/>
    <w:basedOn w:val="a0"/>
    <w:uiPriority w:val="20"/>
    <w:qFormat/>
    <w:rsid w:val="00136503"/>
    <w:rPr>
      <w:i/>
      <w:iCs/>
    </w:rPr>
  </w:style>
  <w:style w:type="paragraph" w:styleId="a7">
    <w:name w:val="No Spacing"/>
    <w:link w:val="a8"/>
    <w:uiPriority w:val="1"/>
    <w:qFormat/>
    <w:rsid w:val="001441C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21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864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  <w:div w:id="43992372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</w:divsChild>
    </w:div>
    <w:div w:id="147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0%B2%D0%B5%D1%81%D1%82%D0%BE%D1%8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0%B0%D0%BF%D0%B8%D1%82%D0%B0%D0%BB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iera.liemieshiev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0%D0%BB%D1%8E%D1%82%D0%B0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u.wikipedia.org/wiki/%D0%AD%D0%BA%D0%BE%D0%BD%D0%BE%D0%BC%D0%B8%D1%87%D0%B5%D1%81%D0%BA%D0%B8%D0%B5_%D0%BE%D1%82%D0%BD%D0%BE%D1%88%D0%B5%D0%BD%D0%B8%D1%8F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2020-04-27T16:03:00Z</dcterms:created>
  <dcterms:modified xsi:type="dcterms:W3CDTF">2020-04-28T11:53:00Z</dcterms:modified>
</cp:coreProperties>
</file>