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57" w:rsidRPr="009C5657" w:rsidRDefault="009C5657" w:rsidP="009C5657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63"/>
          <w:szCs w:val="63"/>
          <w:lang w:eastAsia="ru-RU"/>
        </w:rPr>
      </w:pPr>
      <w:r w:rsidRPr="009C5657">
        <w:rPr>
          <w:rFonts w:ascii="Arial" w:eastAsia="Times New Roman" w:hAnsi="Arial" w:cs="Arial"/>
          <w:b/>
          <w:bCs/>
          <w:color w:val="555555"/>
          <w:kern w:val="36"/>
          <w:sz w:val="63"/>
          <w:szCs w:val="63"/>
          <w:lang w:eastAsia="ru-RU"/>
        </w:rPr>
        <w:t>ГИА-9</w:t>
      </w:r>
    </w:p>
    <w:p w:rsidR="009C5657" w:rsidRPr="009C5657" w:rsidRDefault="009C5657" w:rsidP="009C5657">
      <w:pPr>
        <w:numPr>
          <w:ilvl w:val="0"/>
          <w:numId w:val="1"/>
        </w:numPr>
        <w:shd w:val="clear" w:color="auto" w:fill="448D88"/>
        <w:spacing w:after="0" w:line="360" w:lineRule="atLeast"/>
        <w:ind w:left="0" w:right="180"/>
        <w:jc w:val="both"/>
        <w:textAlignment w:val="baseline"/>
        <w:rPr>
          <w:rFonts w:ascii="inherit" w:eastAsia="Times New Roman" w:hAnsi="inherit" w:cs="Arial"/>
          <w:color w:val="FFFFFF"/>
          <w:sz w:val="27"/>
          <w:szCs w:val="27"/>
          <w:lang w:eastAsia="ru-RU"/>
        </w:rPr>
      </w:pPr>
      <w:hyperlink r:id="rId5" w:history="1">
        <w:r w:rsidRPr="009C5657">
          <w:rPr>
            <w:rFonts w:ascii="inherit" w:eastAsia="Times New Roman" w:hAnsi="inherit" w:cs="Arial"/>
            <w:color w:val="FFFFFF"/>
            <w:sz w:val="25"/>
            <w:szCs w:val="25"/>
            <w:bdr w:val="none" w:sz="0" w:space="0" w:color="auto" w:frame="1"/>
            <w:lang w:eastAsia="ru-RU"/>
          </w:rPr>
          <w:t>Устное собеседование</w:t>
        </w:r>
      </w:hyperlink>
    </w:p>
    <w:p w:rsidR="009C5657" w:rsidRPr="009C5657" w:rsidRDefault="009C5657" w:rsidP="009C5657">
      <w:pPr>
        <w:numPr>
          <w:ilvl w:val="0"/>
          <w:numId w:val="1"/>
        </w:numPr>
        <w:shd w:val="clear" w:color="auto" w:fill="448D88"/>
        <w:spacing w:line="360" w:lineRule="atLeast"/>
        <w:ind w:left="0" w:right="180"/>
        <w:jc w:val="both"/>
        <w:textAlignment w:val="baseline"/>
        <w:rPr>
          <w:rFonts w:ascii="inherit" w:eastAsia="Times New Roman" w:hAnsi="inherit" w:cs="Arial"/>
          <w:color w:val="FFFFFF"/>
          <w:sz w:val="27"/>
          <w:szCs w:val="27"/>
          <w:lang w:eastAsia="ru-RU"/>
        </w:rPr>
      </w:pPr>
      <w:hyperlink r:id="rId6" w:history="1">
        <w:r w:rsidRPr="009C5657">
          <w:rPr>
            <w:rFonts w:ascii="inherit" w:eastAsia="Times New Roman" w:hAnsi="inherit" w:cs="Arial"/>
            <w:color w:val="FFFFFF"/>
            <w:sz w:val="25"/>
            <w:szCs w:val="25"/>
            <w:bdr w:val="none" w:sz="0" w:space="0" w:color="auto" w:frame="1"/>
            <w:lang w:eastAsia="ru-RU"/>
          </w:rPr>
          <w:t>Расписание</w:t>
        </w:r>
      </w:hyperlink>
    </w:p>
    <w:p w:rsidR="009C5657" w:rsidRPr="009C5657" w:rsidRDefault="009C5657" w:rsidP="009C565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Освоение имеющих государственную аккредитацию основных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9C5657" w:rsidRPr="009C5657" w:rsidRDefault="009C5657" w:rsidP="009C565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</w:t>
      </w:r>
    </w:p>
    <w:p w:rsidR="009C5657" w:rsidRPr="009C5657" w:rsidRDefault="009C5657" w:rsidP="009C565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ГИА-9 проводится в форме основного государственного экзамена (ОГЭ) и государственного выпускного экзамена (ГВЭ).</w:t>
      </w:r>
    </w:p>
    <w:p w:rsidR="009C5657" w:rsidRPr="009C5657" w:rsidRDefault="009C5657" w:rsidP="009C5657">
      <w:pPr>
        <w:numPr>
          <w:ilvl w:val="0"/>
          <w:numId w:val="2"/>
        </w:numPr>
        <w:pBdr>
          <w:bottom w:val="dashed" w:sz="6" w:space="0" w:color="00779E"/>
        </w:pBd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Arial"/>
          <w:color w:val="00779E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00779E"/>
          <w:sz w:val="30"/>
          <w:szCs w:val="30"/>
          <w:lang w:eastAsia="ru-RU"/>
        </w:rPr>
        <w:t>Участники ГИА-9</w:t>
      </w:r>
    </w:p>
    <w:p w:rsidR="009C5657" w:rsidRPr="009C5657" w:rsidRDefault="009C5657" w:rsidP="009C5657">
      <w:pPr>
        <w:numPr>
          <w:ilvl w:val="2"/>
          <w:numId w:val="2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К ГИА-9 допускаются обучающиеся, не имеющие академической задолженности и в полном объеме выполнившие учебный план или индивидуальный учебный план.</w:t>
      </w:r>
    </w:p>
    <w:p w:rsidR="009C5657" w:rsidRPr="009C5657" w:rsidRDefault="009C5657" w:rsidP="009C5657">
      <w:pPr>
        <w:numPr>
          <w:ilvl w:val="2"/>
          <w:numId w:val="2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ГИА-9 экстерном в образовательной организации, имеющей государственную аккредитацию. Они допускаются к ГИА-9 при условии получения ими на промежуточной аттестации отметок не ниже удовлетворительных.</w:t>
      </w:r>
    </w:p>
    <w:p w:rsidR="009C5657" w:rsidRPr="009C5657" w:rsidRDefault="009C5657" w:rsidP="009C5657">
      <w:pPr>
        <w:numPr>
          <w:ilvl w:val="2"/>
          <w:numId w:val="2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Выпускники прошлых лет, не прошедшие государственную итоговую аттестацию по образовательным программам основного общего образования</w:t>
      </w:r>
    </w:p>
    <w:p w:rsidR="009C5657" w:rsidRPr="009C5657" w:rsidRDefault="009C5657" w:rsidP="009C5657">
      <w:pPr>
        <w:numPr>
          <w:ilvl w:val="0"/>
          <w:numId w:val="3"/>
        </w:numPr>
        <w:pBdr>
          <w:bottom w:val="dashed" w:sz="6" w:space="0" w:color="00779E"/>
        </w:pBd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Arial"/>
          <w:color w:val="00779E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00779E"/>
          <w:sz w:val="30"/>
          <w:szCs w:val="30"/>
          <w:lang w:eastAsia="ru-RU"/>
        </w:rPr>
        <w:t>Сроки и продолжительность ГИА-9</w:t>
      </w:r>
    </w:p>
    <w:p w:rsidR="009C5657" w:rsidRPr="009C5657" w:rsidRDefault="009C5657" w:rsidP="009C5657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30"/>
          <w:szCs w:val="30"/>
          <w:lang w:eastAsia="ru-RU"/>
        </w:rPr>
        <w:t>Единое расписание ГИА-9 и продолжительность экзаменов по каждому образовательному предмету ежегодно устанавливает соответствующий приказ Министерства образования и науки Российской Федерации.</w:t>
      </w:r>
    </w:p>
    <w:p w:rsidR="009C5657" w:rsidRPr="009C5657" w:rsidRDefault="009C5657" w:rsidP="009C5657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ГИА-9 проходит в 3 этапа: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досрочный период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основной период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дополнительный период</w:t>
      </w:r>
    </w:p>
    <w:p w:rsidR="009C5657" w:rsidRPr="009C5657" w:rsidRDefault="009C5657" w:rsidP="009C5657">
      <w:pPr>
        <w:shd w:val="clear" w:color="auto" w:fill="FFFFFF"/>
        <w:spacing w:after="0" w:line="360" w:lineRule="atLeast"/>
        <w:ind w:right="360"/>
        <w:jc w:val="both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В дополнительный период имеют право пройти государственную итоговую аттестацию следующие лица: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lastRenderedPageBreak/>
        <w:t>получившие неудовлетворительные результаты по четырем учебным предметам;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не явившиеся на экзамены по уважительным причинам, подтвержденным документально;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не завершившие выполнение экзаменационной работы по уважительным причинам;</w:t>
      </w:r>
    </w:p>
    <w:p w:rsidR="009C5657" w:rsidRPr="009C5657" w:rsidRDefault="009C5657" w:rsidP="009C5657">
      <w:pPr>
        <w:numPr>
          <w:ilvl w:val="2"/>
          <w:numId w:val="3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апелляция которых о нарушении установленного порядка проведения ГИА была удовлетворена.</w:t>
      </w:r>
    </w:p>
    <w:p w:rsidR="009C5657" w:rsidRPr="009C5657" w:rsidRDefault="009C5657" w:rsidP="009C5657">
      <w:pPr>
        <w:numPr>
          <w:ilvl w:val="0"/>
          <w:numId w:val="4"/>
        </w:numPr>
        <w:pBdr>
          <w:bottom w:val="dashed" w:sz="6" w:space="0" w:color="00779E"/>
        </w:pBd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Arial"/>
          <w:color w:val="00779E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00779E"/>
          <w:sz w:val="30"/>
          <w:szCs w:val="30"/>
          <w:lang w:eastAsia="ru-RU"/>
        </w:rPr>
        <w:t>Предметы ОГЭ</w:t>
      </w:r>
    </w:p>
    <w:p w:rsidR="009C5657" w:rsidRPr="009C5657" w:rsidRDefault="009C5657" w:rsidP="009C5657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ОГЭ проводится по 14 общеобразовательным предметам: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русский язык;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математика;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физика;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химия;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информатика и информационно-коммуникационные технологии (ИКТ);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биология;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история (с XX веком и без XX века);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география;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английский язык;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немецкий язык;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французский язык;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обществознание;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испанский язык;</w:t>
      </w:r>
    </w:p>
    <w:p w:rsidR="009C5657" w:rsidRPr="009C5657" w:rsidRDefault="009C5657" w:rsidP="009C5657">
      <w:pPr>
        <w:numPr>
          <w:ilvl w:val="2"/>
          <w:numId w:val="4"/>
        </w:numPr>
        <w:shd w:val="clear" w:color="auto" w:fill="FFFFFF"/>
        <w:spacing w:after="0" w:line="360" w:lineRule="atLeast"/>
        <w:ind w:left="0" w:right="360"/>
        <w:jc w:val="both"/>
        <w:textAlignment w:val="baseline"/>
        <w:rPr>
          <w:rFonts w:ascii="inherit" w:eastAsia="Times New Roman" w:hAnsi="inherit" w:cs="Arial"/>
          <w:color w:val="555555"/>
          <w:sz w:val="27"/>
          <w:szCs w:val="27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27"/>
          <w:szCs w:val="27"/>
          <w:lang w:eastAsia="ru-RU"/>
        </w:rPr>
        <w:t>литература.</w:t>
      </w:r>
    </w:p>
    <w:p w:rsidR="009C5657" w:rsidRPr="009C5657" w:rsidRDefault="009C5657" w:rsidP="009C5657">
      <w:pPr>
        <w:numPr>
          <w:ilvl w:val="0"/>
          <w:numId w:val="5"/>
        </w:numPr>
        <w:pBdr>
          <w:bottom w:val="dashed" w:sz="6" w:space="0" w:color="00779E"/>
        </w:pBd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Arial"/>
          <w:color w:val="00779E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00779E"/>
          <w:sz w:val="30"/>
          <w:szCs w:val="30"/>
          <w:lang w:eastAsia="ru-RU"/>
        </w:rPr>
        <w:t>Задания ОГЭ</w:t>
      </w:r>
    </w:p>
    <w:p w:rsidR="009C5657" w:rsidRPr="009C5657" w:rsidRDefault="009C5657" w:rsidP="009C5657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555555"/>
          <w:sz w:val="30"/>
          <w:szCs w:val="30"/>
          <w:lang w:eastAsia="ru-RU"/>
        </w:rPr>
      </w:pPr>
      <w:r w:rsidRPr="009C5657">
        <w:rPr>
          <w:rFonts w:ascii="inherit" w:eastAsia="Times New Roman" w:hAnsi="inherit" w:cs="Arial"/>
          <w:color w:val="555555"/>
          <w:sz w:val="30"/>
          <w:szCs w:val="30"/>
          <w:lang w:eastAsia="ru-RU"/>
        </w:rPr>
        <w:t>При проведении ОГЭ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КИМ разрабатываются ФГБНУ «Федеральный институт педагогических измерений» (ФИПИ). С документами, регламентирующими структуру и содержание КИМ (кодификаторами, спецификациями), а также с демонстрационными вариантами ОГЭ по каждому предмету, можно ознакомиться на сайте </w:t>
      </w:r>
      <w:hyperlink r:id="rId7" w:history="1">
        <w:r w:rsidRPr="009C5657">
          <w:rPr>
            <w:rFonts w:ascii="inherit" w:eastAsia="Times New Roman" w:hAnsi="inherit" w:cs="Arial"/>
            <w:color w:val="448D88"/>
            <w:sz w:val="30"/>
            <w:szCs w:val="30"/>
            <w:u w:val="single"/>
            <w:bdr w:val="none" w:sz="0" w:space="0" w:color="auto" w:frame="1"/>
            <w:lang w:eastAsia="ru-RU"/>
          </w:rPr>
          <w:t>ФИПИ</w:t>
        </w:r>
      </w:hyperlink>
      <w:r w:rsidRPr="009C5657">
        <w:rPr>
          <w:rFonts w:ascii="inherit" w:eastAsia="Times New Roman" w:hAnsi="inherit" w:cs="Arial"/>
          <w:color w:val="555555"/>
          <w:sz w:val="30"/>
          <w:szCs w:val="30"/>
          <w:lang w:eastAsia="ru-RU"/>
        </w:rPr>
        <w:t>.</w:t>
      </w:r>
    </w:p>
    <w:p w:rsidR="002F68A8" w:rsidRDefault="002F68A8">
      <w:bookmarkStart w:id="0" w:name="_GoBack"/>
      <w:bookmarkEnd w:id="0"/>
    </w:p>
    <w:sectPr w:rsidR="002F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35D1"/>
    <w:multiLevelType w:val="multilevel"/>
    <w:tmpl w:val="ACF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3355E"/>
    <w:multiLevelType w:val="multilevel"/>
    <w:tmpl w:val="2D6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A83306"/>
    <w:multiLevelType w:val="multilevel"/>
    <w:tmpl w:val="326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AF77FA"/>
    <w:multiLevelType w:val="multilevel"/>
    <w:tmpl w:val="2D08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7A7265"/>
    <w:multiLevelType w:val="multilevel"/>
    <w:tmpl w:val="DDE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D"/>
    <w:rsid w:val="002F68A8"/>
    <w:rsid w:val="009C5657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8869-1493-409C-9B39-59A9805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i02.ru/schedulegia/" TargetMode="External"/><Relationship Id="rId5" Type="http://schemas.openxmlformats.org/officeDocument/2006/relationships/hyperlink" Target="https://rcoi02.ru/inter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2023-02-10T10:25:00Z</dcterms:created>
  <dcterms:modified xsi:type="dcterms:W3CDTF">2023-02-10T10:26:00Z</dcterms:modified>
</cp:coreProperties>
</file>