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2" w:rsidRDefault="00A0069C">
      <w:pPr>
        <w:pStyle w:val="ConsPlusNormal0"/>
        <w:outlineLvl w:val="0"/>
      </w:pPr>
      <w:r>
        <w:t>З</w:t>
      </w:r>
      <w:r>
        <w:t>а</w:t>
      </w:r>
      <w:r>
        <w:t>р</w:t>
      </w:r>
      <w:r>
        <w:t>е</w:t>
      </w:r>
      <w:r>
        <w:t>г</w:t>
      </w:r>
      <w:r>
        <w:t>истрировано в Минюсте России 26 мая 2025 г. N 82322</w:t>
      </w:r>
      <w:bookmarkStart w:id="0" w:name="_GoBack"/>
      <w:bookmarkEnd w:id="0"/>
    </w:p>
    <w:p w:rsidR="00024582" w:rsidRDefault="000245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Title0"/>
        <w:jc w:val="center"/>
      </w:pPr>
      <w:r>
        <w:t>МИНИСТЕРСТВО ЗДРАВООХРАНЕНИЯ РОССИЙСКОЙ ФЕДЕРАЦИИ</w:t>
      </w:r>
    </w:p>
    <w:p w:rsidR="00024582" w:rsidRDefault="00024582">
      <w:pPr>
        <w:pStyle w:val="ConsPlusTitle0"/>
        <w:jc w:val="center"/>
      </w:pPr>
    </w:p>
    <w:p w:rsidR="00024582" w:rsidRDefault="00A0069C">
      <w:pPr>
        <w:pStyle w:val="ConsPlusTitle0"/>
        <w:jc w:val="center"/>
      </w:pPr>
      <w:r>
        <w:t>ПРИКАЗ</w:t>
      </w:r>
    </w:p>
    <w:p w:rsidR="00024582" w:rsidRDefault="00A0069C">
      <w:pPr>
        <w:pStyle w:val="ConsPlusTitle0"/>
        <w:jc w:val="center"/>
      </w:pPr>
      <w:r>
        <w:t>от 14 апреля 2025 г. N 213н</w:t>
      </w:r>
    </w:p>
    <w:p w:rsidR="00024582" w:rsidRDefault="00024582">
      <w:pPr>
        <w:pStyle w:val="ConsPlusTitle0"/>
        <w:ind w:firstLine="540"/>
        <w:jc w:val="both"/>
      </w:pPr>
    </w:p>
    <w:p w:rsidR="00024582" w:rsidRDefault="00A0069C">
      <w:pPr>
        <w:pStyle w:val="ConsPlusTitle0"/>
        <w:jc w:val="center"/>
      </w:pPr>
      <w:r>
        <w:t>ОБ УТВЕРЖДЕНИИ ПОРЯДКА</w:t>
      </w:r>
    </w:p>
    <w:p w:rsidR="00024582" w:rsidRDefault="00A0069C">
      <w:pPr>
        <w:pStyle w:val="ConsPlusTitle0"/>
        <w:jc w:val="center"/>
      </w:pPr>
      <w:r>
        <w:t>ОКАЗАНИЯ НЕСОВЕРШЕННОЛЕТНИМ МЕДИЦИНСКОЙ ПОМОЩИ,</w:t>
      </w:r>
    </w:p>
    <w:p w:rsidR="00024582" w:rsidRDefault="00A0069C">
      <w:pPr>
        <w:pStyle w:val="ConsPlusTitle0"/>
        <w:jc w:val="center"/>
      </w:pPr>
      <w:r>
        <w:t>В ТОМ ЧИСЛЕ В ПЕР</w:t>
      </w:r>
      <w:r>
        <w:t>ИОД ОБУЧЕНИЯ И ВОСПИТАНИЯ</w:t>
      </w:r>
    </w:p>
    <w:p w:rsidR="00024582" w:rsidRDefault="00A0069C">
      <w:pPr>
        <w:pStyle w:val="ConsPlusTitle0"/>
        <w:jc w:val="center"/>
      </w:pPr>
      <w:r>
        <w:t>В ОБРАЗОВАТЕЛЬНЫХ ОРГАНИЗАЦИЯХ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5.2.60 пункта 5</w:t>
        </w:r>
      </w:hyperlink>
      <w:r>
        <w:t xml:space="preserve"> Положения о Министерстве здравоохранения Российской Федерации, утвержденного</w:t>
      </w:r>
      <w:r>
        <w:t xml:space="preserve"> постановлением Правительства Российской Федерации от 19 июня 2012 г. N 608, приказываю: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оказания несовершеннолетним медицинской помощи, в том числе в период обучения и воспитания в образовательны</w:t>
      </w:r>
      <w:r>
        <w:t xml:space="preserve">х организациях,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024582" w:rsidRDefault="00A0069C">
      <w:pPr>
        <w:pStyle w:val="ConsPlusNormal0"/>
        <w:spacing w:before="200"/>
        <w:ind w:firstLine="540"/>
        <w:jc w:val="both"/>
      </w:pPr>
      <w:hyperlink r:id="rId8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ноября 2013 г. </w:t>
      </w:r>
      <w:r>
        <w:t>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 (зарегистрирован Министерством юстиции Российской Федерации 17 января 2014 г., регистрационный N 31045</w:t>
      </w:r>
      <w:r>
        <w:t>);</w:t>
      </w:r>
    </w:p>
    <w:p w:rsidR="00024582" w:rsidRDefault="00A0069C">
      <w:pPr>
        <w:pStyle w:val="ConsPlusNormal0"/>
        <w:spacing w:before="200"/>
        <w:ind w:firstLine="540"/>
        <w:jc w:val="both"/>
      </w:pPr>
      <w:hyperlink r:id="rId9" w:tooltip="Приказ Минздрава России от 03.09.2015 N 613н &quot;О внесении изменения в Порядок оказания медицинской помощи несовершеннолетним, в том числе в период обучения и воспитания в образовательных организациях, утвержденный приказом Министерства здравоохранения Российско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 сентября 2015 г. N 613н "О внесении изменения в Порядок оказания медицинской помощи несовершеннолетни</w:t>
      </w:r>
      <w:r>
        <w:t>м, в том числе в период обучения и воспитания в образовательных организациях, утвержденный приказом Министерства здравоохранения Российской Федерации от 5 ноября 2013 г. N 822н" (зарегистрирован Министерством юстиции Российской Федерации 29 октября 2015 г.</w:t>
      </w:r>
      <w:r>
        <w:t>, регистрационный N 39538);</w:t>
      </w:r>
    </w:p>
    <w:p w:rsidR="00024582" w:rsidRDefault="00A0069C">
      <w:pPr>
        <w:pStyle w:val="ConsPlusNormal0"/>
        <w:spacing w:before="200"/>
        <w:ind w:firstLine="540"/>
        <w:jc w:val="both"/>
      </w:pPr>
      <w:hyperlink r:id="rId10" w:tooltip="Приказ Минздрава России от 21.02.2020 N 114н (ред. от 29.10.2024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<w:r>
          <w:rPr>
            <w:color w:val="0000FF"/>
          </w:rPr>
          <w:t>пункт 34</w:t>
        </w:r>
      </w:hyperlink>
      <w:r>
        <w:t xml:space="preserve"> приказа Министерства здравоохранения Российской Федерации от 21 февраля 2020 г. N 114н "О внесении изменений в отдельн</w:t>
      </w:r>
      <w:r>
        <w:t>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помощи" (зарегистрирован Министерством юстиции Российской Федерации 28 июля 2</w:t>
      </w:r>
      <w:r>
        <w:t>020 г., регистрационный N 59083).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jc w:val="right"/>
      </w:pPr>
      <w:r>
        <w:t>Министр</w:t>
      </w:r>
    </w:p>
    <w:p w:rsidR="00024582" w:rsidRDefault="00A0069C">
      <w:pPr>
        <w:pStyle w:val="ConsPlusNormal0"/>
        <w:jc w:val="right"/>
      </w:pPr>
      <w:r>
        <w:t>М.А.МУРАШКО</w:t>
      </w:r>
    </w:p>
    <w:p w:rsidR="00024582" w:rsidRDefault="00024582">
      <w:pPr>
        <w:pStyle w:val="ConsPlusNormal0"/>
        <w:jc w:val="right"/>
      </w:pPr>
    </w:p>
    <w:p w:rsidR="00024582" w:rsidRDefault="00024582">
      <w:pPr>
        <w:pStyle w:val="ConsPlusNormal0"/>
        <w:jc w:val="right"/>
      </w:pPr>
    </w:p>
    <w:p w:rsidR="00024582" w:rsidRDefault="00024582">
      <w:pPr>
        <w:pStyle w:val="ConsPlusNormal0"/>
        <w:jc w:val="right"/>
      </w:pPr>
    </w:p>
    <w:p w:rsidR="00024582" w:rsidRDefault="00024582">
      <w:pPr>
        <w:pStyle w:val="ConsPlusNormal0"/>
        <w:jc w:val="right"/>
      </w:pPr>
    </w:p>
    <w:p w:rsidR="00024582" w:rsidRDefault="00024582">
      <w:pPr>
        <w:pStyle w:val="ConsPlusNormal0"/>
        <w:jc w:val="right"/>
      </w:pPr>
    </w:p>
    <w:p w:rsidR="00024582" w:rsidRDefault="00A0069C">
      <w:pPr>
        <w:pStyle w:val="ConsPlusNormal0"/>
        <w:jc w:val="right"/>
        <w:outlineLvl w:val="0"/>
      </w:pPr>
      <w:r>
        <w:t>Приложение</w:t>
      </w:r>
    </w:p>
    <w:p w:rsidR="00024582" w:rsidRDefault="00A0069C">
      <w:pPr>
        <w:pStyle w:val="ConsPlusNormal0"/>
        <w:jc w:val="right"/>
      </w:pPr>
      <w:r>
        <w:t>к приказу Министерства здравоохранения</w:t>
      </w:r>
    </w:p>
    <w:p w:rsidR="00024582" w:rsidRDefault="00A0069C">
      <w:pPr>
        <w:pStyle w:val="ConsPlusNormal0"/>
        <w:jc w:val="right"/>
      </w:pPr>
      <w:r>
        <w:t>Российской Федерации</w:t>
      </w:r>
    </w:p>
    <w:p w:rsidR="00024582" w:rsidRDefault="00A0069C">
      <w:pPr>
        <w:pStyle w:val="ConsPlusNormal0"/>
        <w:jc w:val="right"/>
      </w:pPr>
      <w:r>
        <w:t>от 14 апреля 2025 г. N 213н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Title0"/>
        <w:jc w:val="center"/>
      </w:pPr>
      <w:bookmarkStart w:id="1" w:name="P34"/>
      <w:bookmarkEnd w:id="1"/>
      <w:r>
        <w:t>ПОРЯДОК</w:t>
      </w:r>
    </w:p>
    <w:p w:rsidR="00024582" w:rsidRDefault="00A0069C">
      <w:pPr>
        <w:pStyle w:val="ConsPlusTitle0"/>
        <w:jc w:val="center"/>
      </w:pPr>
      <w:r>
        <w:t>ОКАЗАНИЯ НЕСОВЕРШЕННОЛЕТНИМ МЕДИЦИНСКОЙ ПОМОЩИ,</w:t>
      </w:r>
    </w:p>
    <w:p w:rsidR="00024582" w:rsidRDefault="00A0069C">
      <w:pPr>
        <w:pStyle w:val="ConsPlusTitle0"/>
        <w:jc w:val="center"/>
      </w:pPr>
      <w:r>
        <w:t>В ТОМ ЧИСЛЕ В ПЕРИОД ОБУЧЕНИЯ И ВОСПИТАНИЯ</w:t>
      </w:r>
    </w:p>
    <w:p w:rsidR="00024582" w:rsidRDefault="00A0069C">
      <w:pPr>
        <w:pStyle w:val="ConsPlusTitle0"/>
        <w:jc w:val="center"/>
      </w:pPr>
      <w:r>
        <w:lastRenderedPageBreak/>
        <w:t>В ОБРАЗОВАТЕЛЬНЫХ ОРГАНИЗАЦИЯХ</w:t>
      </w:r>
    </w:p>
    <w:p w:rsidR="00024582" w:rsidRDefault="00024582">
      <w:pPr>
        <w:pStyle w:val="ConsPlusNormal0"/>
        <w:jc w:val="center"/>
      </w:pPr>
    </w:p>
    <w:p w:rsidR="00024582" w:rsidRDefault="00A0069C">
      <w:pPr>
        <w:pStyle w:val="ConsPlusNormal0"/>
        <w:ind w:firstLine="540"/>
        <w:jc w:val="both"/>
      </w:pPr>
      <w:r>
        <w:t>1. Настоящий Порядок распространяется на образовательные организации и организации, осуществляющие обучение по основным общеобразовательным программам - образовательным программам дошкольного образования, начального общего образования, основного общего обр</w:t>
      </w:r>
      <w:r>
        <w:t>азования, среднего общего образования, дополнительным общеразвивающим программам (далее - образовательные организации) вне зависимости от организационно-правовой формы.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2. Организация оказания первичной медико-санитарной помощи несовершеннолетним в возраст</w:t>
      </w:r>
      <w:r>
        <w:t>е до 18 лет (далее - обучающиеся) в период обучения и воспитания в образовательных организациях осуществляется исполнительными органами субъектов Российской Федерации в сфере охраны здоровья.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3. Условия оказания медицинской помощи обучающимся, включая опре</w:t>
      </w:r>
      <w:r>
        <w:t>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организациях, устанавливают исполнительные органы субъектов Российской Федерации. &lt;1&gt;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</w:t>
      </w:r>
      <w:r>
        <w:t>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4. Первичная медико-санитарная помощь в экст</w:t>
      </w:r>
      <w:r>
        <w:t>ренной и неотложной форме, в том числе при внезапных острых заболеваниях, состояниях, обострении хронических заболеваний, произошедших во время пребывания в образовательной организации, а также проведение мероприятий по профилактике заболеваний, формирован</w:t>
      </w:r>
      <w:r>
        <w:t>ию здорового образа жизни и санитарно-гигиеническому просвещению оказывается обучающимся в медицинских пунктах образовательных организаций (далее - медицинский пункт).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5. Первичная медико-санитарная помощь обучающимся в плановой форме оказывается в медицин</w:t>
      </w:r>
      <w:r>
        <w:t xml:space="preserve">ской организации, выбранной в соответствии с Федеральным </w:t>
      </w:r>
      <w:hyperlink r:id="rId12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323-ФЗ.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6. Первичная медико-санитарная помощь обучающимся в период обучения и воспитания в образовательных организациях осуществляется в образовательной организации либо в слу</w:t>
      </w:r>
      <w:r>
        <w:t>чаях, установленных органами государственной власти субъектов Российской Федерации, в медицинской организации &lt;2&gt;.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 3 статьи 41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7. Медицинский пункт является структурным подразделением медицинской организации или образовательной организации в случаях, когда образовательная организация осуществляет наряду с уставной - медицинскую деятельность в порядке, установленном законодательс</w:t>
      </w:r>
      <w:r>
        <w:t>твом в сфере охраны здоровья &lt;3&gt;.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4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8. В случае оказания первичной медико-санитарной помощи обучающимся медицинской организацией медицинский пункт пре</w:t>
      </w:r>
      <w:r>
        <w:t>дусматривается в структуре отделения медицинской помощи несовершеннолетним в образовательных организациях.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9. При оказании первичной медико-санитарной помощи обучающимся в образовательной организации образовательная организация обязана предоставить безвозм</w:t>
      </w:r>
      <w:r>
        <w:t>ездно медицинской организации помещение, соответствующее условиям и требованиям для оказания указанной помощи &lt;4&gt;.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 3 статьи 41</w:t>
        </w:r>
      </w:hyperlink>
      <w:r>
        <w:t xml:space="preserve"> Федерального закона N 273-ФЗ.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10. Первичная медико-санитарная помощь обучающимся оказывается врачами-педиатрами, фельдшерами, м</w:t>
      </w:r>
      <w:r>
        <w:t>едицинскими сестрами - специалистами по оказанию медицинской помощи обучающимся (медицинскими братьями - специалистами по оказанию медицинской помощи обучающимся), а также медицинскими сестрами (медицинскими братьями).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11. После оказания первичной доврачеб</w:t>
      </w:r>
      <w:r>
        <w:t xml:space="preserve">ной и первичной врачебной медико-санитарной помощи обучающимся при наличии показаний медицинские работники медицинского пункта направляют обучающегося в медицинскую организацию, выбранную им в соответствии с Федеральным </w:t>
      </w:r>
      <w:hyperlink r:id="rId1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323-ФЗ, с вы</w:t>
      </w:r>
      <w:r>
        <w:t>дачей справки, содержащей информацию об обращении обучающегося за медицинской помощью в медицинский пункт, объеме и виде оказанной медицинской помощи, а также в случае необходимости - другую уточняющую информацию о состоянии здоровья на момент осмотра, выд</w:t>
      </w:r>
      <w:r>
        <w:t xml:space="preserve">анной в соответствии с </w:t>
      </w:r>
      <w:hyperlink r:id="rId17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</w:t>
      </w:r>
      <w:r>
        <w:t>ря 2020 г. N 927н &lt;5&gt; (далее - Порядок выдачи).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&lt;5&gt;</w:t>
      </w:r>
      <w:r>
        <w:t xml:space="preserve"> 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здравоохранения Российской Федерации от 12 ноября 2021 г. N 1049н "О внесении изменений в Порядок выдач</w:t>
      </w:r>
      <w:r>
        <w:t>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972н" (зарегистрирован Министерством юстиции Российской Федерации 25 ноября 2021 г., регистрацио</w:t>
      </w:r>
      <w:r>
        <w:t>нный N 65976), срок действия до 1 января 2027 года.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12. При заболеваниях, несчастных случаях, травмах, отравлениях и других состояниях, требующих срочного медицинского вмешательства, должен быть обеспечен вызов бригады скорой медицинской помощи.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13. При о</w:t>
      </w:r>
      <w:r>
        <w:t>казании медицинской помощи несовершеннолетнему по экстренным показаниям для устранения угрозы жизни без согласия родителей (законных представителей) &lt;6&gt; медицинский работник информирует его родителей (законных представителей) об оказанной медицинской помощ</w:t>
      </w:r>
      <w:r>
        <w:t>и.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1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9 статьи 20</w:t>
        </w:r>
      </w:hyperlink>
      <w:r>
        <w:t xml:space="preserve"> Федерального закона N 323-ФЗ.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14. При организации прохождения несовершеннолетними профилактических медицинских осмотров обучающихся в период обучения и воспитания в образовательных организациях образователь</w:t>
      </w:r>
      <w:r>
        <w:t>ная организация оказывает содействие в информировании обучающихся, их родителей или иных законных представителей о необходимости оформления информированного добровольного согласия на медицинское вмешательство или отказа от медицинского вмешательства в отно</w:t>
      </w:r>
      <w:r>
        <w:t>шении определенного вида медицинского вмешательства и обеспечивает передачу медицинских и иных документов медицинским работникам медицинского пункта.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15. На основании письменного заявления в адрес руководителя образовательной организации родителя или иного</w:t>
      </w:r>
      <w:r>
        <w:t xml:space="preserve"> законного представителя обучающегося, а также при условии предоставления справки, содержащей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</w:t>
      </w:r>
      <w:r>
        <w:t xml:space="preserve"> и длительность применения, выданной в соответствии с </w:t>
      </w:r>
      <w:hyperlink r:id="rId19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выдачи, медицинские работники медицинского пункта обеспечивают применение лекарственных препаратов для медицинского приме</w:t>
      </w:r>
      <w:r>
        <w:t>нения и специализированных продуктов лечебного питания обучающимися, находящимися на диспансерном наблюдении с хроническими заболеваниями, требующими соблюдения назначенного лечащим врачом режима лечения, в том числе детям-инвалидам.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lastRenderedPageBreak/>
        <w:t>16. Лекарственные преп</w:t>
      </w:r>
      <w:r>
        <w:t>араты для медицинского применения и специализированные продукты лечебного питания передаются медицинскому работнику медицинского пункта родителем или иным законным представителем обучающегося в запечатанном виде с хорошо просматривающейся датой изготовлени</w:t>
      </w:r>
      <w:r>
        <w:t xml:space="preserve">я и срока годности, а также распиской родителя или иного законного представителя обучающегося, написанной собственноручно в свободной форме, о соблюдении надлежащих требований хранения и транспортировки лекарственных препаратов для медицинского применения </w:t>
      </w:r>
      <w:r>
        <w:t>и специализированных продуктов лечебного питания.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17. Медицинский работник медицинского пункта не принимает от родителей или иных законных представителей обучающегося лекарственные препараты для медицинского применения и специализированные продукты лечебно</w:t>
      </w:r>
      <w:r>
        <w:t xml:space="preserve">го питания в случаях, когда имеются сомнения в соблюдении условий хранения лекарственных препаратов для медицинского применения и специализированных продуктов лечебного питания до момента передачи, повреждение упаковки, а также указания на истекающий срок </w:t>
      </w:r>
      <w:r>
        <w:t>годности.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18. Образовательная организация обеспечивает условия хранения лекарственных препаратов для медицинского применения и специализированных продуктов лечебного питания, соответствующие инструкциям по их применению.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19. Информация, включающая фамилию,</w:t>
      </w:r>
      <w:r>
        <w:t xml:space="preserve"> имя, отчество (при наличии) ребенка, дату рождения, аллергические реакции на лекарственные препараты, пищевую аллергию и иные виды непереносимости в анамнезе, с указанием типа и вида аллергической реакции, наименование лекарственного препарата и (или) спе</w:t>
      </w:r>
      <w:r>
        <w:t>циализированного продукта лечебного питания, лекарственную форму, дозировку, способ применения, отметки о применении лекарственного препарата и (или) специализированного продукта лечебного питания (дата, время, подпись медицинского работника медицинского п</w:t>
      </w:r>
      <w:r>
        <w:t>ункта), сведения о реакции на применение (при наличии) вносится в свободной форме в журнал учета применения лекарственных препаратов и специализированных продуктов лечебного питания на каждого обучающегося, нуждающегося в соблюдении режима лечения по назна</w:t>
      </w:r>
      <w:r>
        <w:t>чению лечащего врача.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20. Медицинский пункт осуществляет свою деятельность в соответствии с </w:t>
      </w:r>
      <w:hyperlink w:anchor="P91" w:tooltip="ПОЛОЖЕНИЕ">
        <w:r>
          <w:rPr>
            <w:color w:val="0000FF"/>
          </w:rPr>
          <w:t>приложениями N 1</w:t>
        </w:r>
      </w:hyperlink>
      <w:r>
        <w:t xml:space="preserve"> - </w:t>
      </w:r>
      <w:hyperlink w:anchor="P199" w:tooltip="СТАНДАРТ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jc w:val="right"/>
        <w:outlineLvl w:val="1"/>
      </w:pPr>
      <w:r>
        <w:t>Приложение N 1</w:t>
      </w:r>
    </w:p>
    <w:p w:rsidR="00024582" w:rsidRDefault="00A0069C">
      <w:pPr>
        <w:pStyle w:val="ConsPlusNormal0"/>
        <w:jc w:val="right"/>
      </w:pPr>
      <w:r>
        <w:t xml:space="preserve">к Порядку оказания </w:t>
      </w:r>
      <w:r>
        <w:t>несовершеннолетним</w:t>
      </w:r>
    </w:p>
    <w:p w:rsidR="00024582" w:rsidRDefault="00A0069C">
      <w:pPr>
        <w:pStyle w:val="ConsPlusNormal0"/>
        <w:jc w:val="right"/>
      </w:pPr>
      <w:r>
        <w:t>медицинской помощи, в том числе в период</w:t>
      </w:r>
    </w:p>
    <w:p w:rsidR="00024582" w:rsidRDefault="00A0069C">
      <w:pPr>
        <w:pStyle w:val="ConsPlusNormal0"/>
        <w:jc w:val="right"/>
      </w:pPr>
      <w:r>
        <w:t>обучения и воспитания в образовательных</w:t>
      </w:r>
    </w:p>
    <w:p w:rsidR="00024582" w:rsidRDefault="00A0069C">
      <w:pPr>
        <w:pStyle w:val="ConsPlusNormal0"/>
        <w:jc w:val="right"/>
      </w:pPr>
      <w:r>
        <w:t>организациях, утвержденному приказом</w:t>
      </w:r>
    </w:p>
    <w:p w:rsidR="00024582" w:rsidRDefault="00A0069C">
      <w:pPr>
        <w:pStyle w:val="ConsPlusNormal0"/>
        <w:jc w:val="right"/>
      </w:pPr>
      <w:r>
        <w:t>Министерства здравоохранения</w:t>
      </w:r>
    </w:p>
    <w:p w:rsidR="00024582" w:rsidRDefault="00A0069C">
      <w:pPr>
        <w:pStyle w:val="ConsPlusNormal0"/>
        <w:jc w:val="right"/>
      </w:pPr>
      <w:r>
        <w:t>Российской Федерации</w:t>
      </w:r>
    </w:p>
    <w:p w:rsidR="00024582" w:rsidRDefault="00A0069C">
      <w:pPr>
        <w:pStyle w:val="ConsPlusNormal0"/>
        <w:jc w:val="right"/>
      </w:pPr>
      <w:r>
        <w:t>от 14 апреля 2025 г. N 213н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Title0"/>
        <w:jc w:val="center"/>
      </w:pPr>
      <w:bookmarkStart w:id="2" w:name="P91"/>
      <w:bookmarkEnd w:id="2"/>
      <w:r>
        <w:t>ПОЛОЖЕНИЕ</w:t>
      </w:r>
    </w:p>
    <w:p w:rsidR="00024582" w:rsidRDefault="00A0069C">
      <w:pPr>
        <w:pStyle w:val="ConsPlusTitle0"/>
        <w:jc w:val="center"/>
      </w:pPr>
      <w:r>
        <w:t>ОБ ОРГАНИЗАЦИИ МЕДИЦИНСКОГО ПУНКТА</w:t>
      </w:r>
    </w:p>
    <w:p w:rsidR="00024582" w:rsidRDefault="00A0069C">
      <w:pPr>
        <w:pStyle w:val="ConsPlusTitle0"/>
        <w:jc w:val="center"/>
      </w:pPr>
      <w:r>
        <w:t>ОБРАЗОВАТЕЛЬНОЙ ОРГАНИЗАЦИИ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1. Медицинский пункт является самостоятельным структурным подразделением медицинской организации либо входит в иное структурное подразделение медицинской организации либо является самостоятель</w:t>
      </w:r>
      <w:r>
        <w:t>ной структурной единицей образовательной организации, осуществляющей наряду с уставной - медицинскую деятельность в порядке, установленном законодательством Российской Федерации в сфере охраны здоровья &lt;1&gt;, и оказывает медицинскую помощь несовершеннолетним</w:t>
      </w:r>
      <w:r>
        <w:t xml:space="preserve"> в возрасте до 18 лет, обучающимся в образовательных организациях, реализующих основные образовательные программы (далее - обучающиеся).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статьи 2</w:t>
        </w:r>
      </w:hyperlink>
      <w:r>
        <w:t xml:space="preserve"> Федерального закона от 21 ноября 2011 г. N</w:t>
      </w:r>
      <w:r>
        <w:t xml:space="preserve"> 323-ФЗ "Об основах охраны здоровья граждан в Российской Федерации" (далее - Федеральный закон N 323-ФЗ).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2. Целью деятельности медицинского пункта является оказание обучающимся первичной медико-санитарной помощи в экстренной форме и неотложной форме, в т</w:t>
      </w:r>
      <w:r>
        <w:t>ом числе при внезапных острых заболеваниях, состояниях, обострении хронических заболеваний, а также профилактика заболеваний.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3. Медицинский пункт состоит из: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кабинета врача-педиатра/фельдшера/медицинской сестры-специалиста по оказанию медицинской помощи о</w:t>
      </w:r>
      <w:r>
        <w:t>бучающимся;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процедурного кабинета.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4. Медицинский пункт осуществляет свою деятельность в соответствии с действующими санитарно-эпидемиологическими нормами и правилами.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5. В медицинском пункте образовательной организации дополнительно могут быть предусмотре</w:t>
      </w:r>
      <w:r>
        <w:t>ны кабинеты охраны зрения детей, детский стоматологический кабинет, кабинет лечебной физкультуры (далее - иные подразделения), а также должности медицинских работников этих кабинетов, в соответствии с действующим законодательством Российской Федерации в сф</w:t>
      </w:r>
      <w:r>
        <w:t>ере охраны здоровья.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6. Штатная численность медицинского пункта устанавливается руководителем медицинской или образовательной организации, в составе которой он создан, с учетом объема оказываемой медицинской помощи и проводимой профилактической работы, чис</w:t>
      </w:r>
      <w:r>
        <w:t>ленности несовершеннолетних в образовательных организациях.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Рекомендуемая штатная численность медицинского пункта предусмотрена </w:t>
      </w:r>
      <w:hyperlink w:anchor="P166" w:tooltip="РЕКОМЕНДУЕМЫЕ ШТАТНЫЕ НОРМАТИВЫ">
        <w:r>
          <w:rPr>
            <w:color w:val="0000FF"/>
          </w:rPr>
          <w:t>приложением N 2</w:t>
        </w:r>
      </w:hyperlink>
      <w:r>
        <w:t xml:space="preserve"> к Порядку оказания несовершеннолетним медицинско</w:t>
      </w:r>
      <w:r>
        <w:t>й помощи, в том числе в период обучения и воспитания в образовательных организациях, утвержденному настоящим приказом (далее - Порядок).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м</w:t>
      </w:r>
      <w:r>
        <w:t>едицинского персонала медицинского пункта устанавливается исходя из меньшей численности обучающихся.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7. На должность врача-педиатра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образованием, утверждаемым в соответствии с </w:t>
      </w:r>
      <w:hyperlink r:id="rId21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5.2.2 пу</w:t>
        </w:r>
        <w:r>
          <w:rPr>
            <w:color w:val="0000FF"/>
          </w:rPr>
          <w:t>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Минздраве), по направлению подготовки "Здравоохранение и медицинские науки" </w:t>
      </w:r>
      <w:r>
        <w:t>по специальности "педиатрия" или "лечебное дело" и имеющий подготовку в интернатуре/ординатуре по специальности "педиатрия".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8. На должность фельдшера медицинского пункта назначается медицинский работник, имеющий среднее образование по специальности "Лечеб</w:t>
      </w:r>
      <w:r>
        <w:t>ное дело".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9. На должность медицинской сестры-специалиста по оказанию медицинской помощи обучающимся (медицинского брата-специалиста по оказанию медицинской помощи обучающимся) медицинского пункта назначается медицинский работник, соответствующий квалифика</w:t>
      </w:r>
      <w:r>
        <w:t xml:space="preserve">ционным требованиям к медицинским и фармацевтическим работникам с высшим образованием, утверждаемым в соответствии </w:t>
      </w:r>
      <w:hyperlink r:id="rId22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с 5.2.2 пункта 5</w:t>
        </w:r>
      </w:hyperlink>
      <w:r>
        <w:t xml:space="preserve"> Положения о Минздраве, по специальности "Сестринское дело", а также требованиям профессионального </w:t>
      </w:r>
      <w:hyperlink r:id="rId23" w:tooltip="Приказ Минтруда России от 31.07.2020 N 481н &quot;Об утверждении профессионального стандарта &quot;Специалист по оказанию медицинской помощи несовершеннолетним обучающимся в образовательных организациях&quot; (Зарегистрировано в Минюсте России 28.08.2020 N 59581) {Консультан">
        <w:r>
          <w:rPr>
            <w:color w:val="0000FF"/>
          </w:rPr>
          <w:t>стандарта</w:t>
        </w:r>
      </w:hyperlink>
      <w:r>
        <w:t xml:space="preserve"> "Специалист по оказанию медицинской помощи обучающимся в образовательных организациях" &lt;2&gt;.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lastRenderedPageBreak/>
        <w:t xml:space="preserve">&lt;2&gt; </w:t>
      </w:r>
      <w:hyperlink r:id="rId24" w:tooltip="Приказ Минтруда России от 31.07.2020 N 481н &quot;Об утверждении профессионального стандарта &quot;Специалист по оказанию медицинской помощи несовершеннолетним обучающимся в образовательных организациях&quot; (Зарегистрировано в Минюсте России 28.08.2020 N 59581) {Консультан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июля 2020 г. N 481н "Об утверждении профессионального стандарта "Специалист по оказанию медицинской помощи нес</w:t>
      </w:r>
      <w:r>
        <w:t>овершеннолетним обучающимся в образовательных организациях" (зарегистрирован Министерством юстиции Российской Федерации 28 августа 2020 г., регистрационный N 59581).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 xml:space="preserve">10. На должность медицинской сестры (медицинского брата) медицинского пункта назначается </w:t>
      </w:r>
      <w:r>
        <w:t xml:space="preserve">медицинский работник в соответствии с квалификационными требованиями к медицинским и фармацевтическим работникам со средним медицинским и фармацевтическим образованием, утверждаемыми в соответствии </w:t>
      </w:r>
      <w:hyperlink r:id="rId25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с 5.2.2 пункта 5</w:t>
        </w:r>
      </w:hyperlink>
      <w:r>
        <w:t xml:space="preserve"> Положения о Минздрав</w:t>
      </w:r>
      <w:r>
        <w:t>е, по специальности "Сестринское дело в педиатрии".</w:t>
      </w:r>
    </w:p>
    <w:p w:rsidR="00024582" w:rsidRDefault="00A0069C">
      <w:pPr>
        <w:pStyle w:val="ConsPlusNormal0"/>
        <w:spacing w:before="200"/>
        <w:ind w:firstLine="540"/>
        <w:jc w:val="both"/>
      </w:pPr>
      <w:bookmarkStart w:id="3" w:name="P115"/>
      <w:bookmarkEnd w:id="3"/>
      <w:r>
        <w:t xml:space="preserve">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</w:t>
      </w:r>
      <w:hyperlink w:anchor="P199" w:tooltip="СТАНДАРТ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Медицинская организация или образовательная организация в случае, если образовательная организация осуществляет наряду с уставной - медицинскую деятельность в порядке, установленном законодательством Российской Федерации в сфере </w:t>
      </w:r>
      <w:r>
        <w:t>охраны здоровья &lt;3&gt;, обеспечивает медицинский пункт лекарственными препаратами для медицинского применения, предусмотренные Порядком.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статьи 2</w:t>
        </w:r>
      </w:hyperlink>
      <w:r>
        <w:t xml:space="preserve"> Федерального закона N 323-ФЗ.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 xml:space="preserve">В медицинском </w:t>
      </w:r>
      <w:r>
        <w:t>пункте предусматривается наличие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</w:t>
      </w:r>
      <w:r>
        <w:t xml:space="preserve"> соответствии с требованиями к комплектации лекарственными препаратами и медицинскими изделиями.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В медицинском пункте должны быть предусмотрены одноразовые медицинские изделия и расходные материалы, в том числе перчатки медицинские, халаты медицинские, мас</w:t>
      </w:r>
      <w:r>
        <w:t>ки медицинские, шапочки хирургические, шпатели для языка смотровые, шприцы, перевязочные материалы, включая бинты, стерильные салфетки, лейкопластырь, а также лекарственные препараты для оказания медицинской помощи детям при анафилактическом шоке.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12. Меди</w:t>
      </w:r>
      <w:r>
        <w:t>цинский пункт образовательной организации осуществляет следующие функции: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оказание обучающимся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</w:t>
      </w:r>
      <w:r>
        <w:t>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направление обучающихся при наличии медицинских показаний в медицинскую организацию, в том числе выбранную обучающимся или его родителем (законным представителем) в соответствии с Федеральным </w:t>
      </w:r>
      <w:hyperlink r:id="rId27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N 323-ФЗ;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организацию и проведение работ</w:t>
      </w:r>
      <w:r>
        <w:t>ы по иммунопрофилактике в образовательных организациях;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организ</w:t>
      </w:r>
      <w:r>
        <w:t>ации профилактических медицинских осмотров обучающихся и анализе полученных по результатам профилактических медицинских осмотров данных;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анализе состояния санитарно-гигиенических условий и организации процесса воспитания и обучения, в том числе п</w:t>
      </w:r>
      <w:r>
        <w:t>итания, физического воспитания обучающих, а также трудового обучения;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работу по формированию групп обучающихся повышенного медико-социального и биологического риска формирования расстройств здоровья для оптимальной организации процессов обучения и </w:t>
      </w:r>
      <w:r>
        <w:lastRenderedPageBreak/>
        <w:t>воспитан</w:t>
      </w:r>
      <w:r>
        <w:t>ия, оказания медицинской помощи, в том числе коррекции нарушений здоровья и развития;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анализе состояния здоровья обучающихся, подготовке предложений по приоритетам при разработке профилактических, коррекционных мероприятий, реализуемых в образова</w:t>
      </w:r>
      <w:r>
        <w:t>тельных организациях;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подготовке предложений и внедрении конкретных медико-социальных и психологических технологий сохранения, укрепления и восстановления здоровья обучающихся в условиях образовательных организаций;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взаимодействие с врачами-педиа</w:t>
      </w:r>
      <w:r>
        <w:t>трами участковыми, врачами-специалистами медицинских организаций, психологами и педагогами образовательных организаций, администрацией образовательных организаций по вопросам укрепления здоровья обучающихся;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методическое обеспечение совместно с психологами</w:t>
      </w:r>
      <w:r>
        <w:t xml:space="preserve"> и педагогами образовательных организаций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оздоровлении обучающихся в период организованного отдыха;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о</w:t>
      </w:r>
      <w:r>
        <w:t>рганизации в условиях образовательных организаций работы по коррекции нарушений здоровья обучающихся, снижающих возможности их социальной адаптации, ограничивающих возможности обучения, выбора профессии, подготовки к военной службе в рамках полномочий;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</w:t>
      </w:r>
      <w:r>
        <w:t>стие в гигиеническом контроле средств обучения и воспитания (включая электронные средства обучения) и их использования в процессах обучения и воспитания (в том числе при онлайн-обучении);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проведение санитарно-гигиенической просветительной работы среди обучающихся, их родителей и иных законных представителей, педагогов по вопросам профилактики </w:t>
      </w:r>
      <w:proofErr w:type="gramStart"/>
      <w:r>
        <w:t>заболеваний</w:t>
      </w:r>
      <w:proofErr w:type="gramEnd"/>
      <w:r>
        <w:t xml:space="preserve"> обучающихся и формированию здорового образа жизни;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взаимодействие с территориальными ор</w:t>
      </w:r>
      <w:r>
        <w:t>ганами Федеральной службы по надзору в сфере защиты прав потребителей и благополучия человека по вопросу охраны здоровья обучающихся;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своевременное направление извещения в территориальные органы Федеральной службы по надзору в сфере защиты прав потребителе</w:t>
      </w:r>
      <w:r>
        <w:t>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информирование органов внутренних дел об обращении за медицинской помощью обучающихся, в отношении которых имеются основания по</w:t>
      </w:r>
      <w:r>
        <w:t>лагать, что вред их здоровью причинен в результате противоправных действий;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работе психолого-медико-педагогической комиссии;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участие в организации условий образовательной работы с обучающимися с ограниченными возможностями здоровья (далее - ОВЗ) по адаптированным программам обучения с учетом имеющихся ограничений здоровья и прав детей;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обеспечение применения лекарственных препар</w:t>
      </w:r>
      <w:r>
        <w:t xml:space="preserve">атов для медицинского применения и (или) специализированных продуктов лечебного питания обучающимися, нуждающимися в соблюдении режима лечения, необходимость которого подтверждена справкой, выданной в соответствии с </w:t>
      </w:r>
      <w:hyperlink r:id="rId28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 &lt;4&gt;;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&lt;4&gt; Утвержден Приказом Министерства здравоохранения Российской Федерации России от 14 сентября 2020 г. N 972н </w:t>
      </w:r>
      <w:r>
        <w:t>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61261), с изменениями, внесенными приказом Министерства здравоохран</w:t>
      </w:r>
      <w:r>
        <w:t xml:space="preserve">ения </w:t>
      </w:r>
      <w:r>
        <w:lastRenderedPageBreak/>
        <w:t>Российской Федерации от 12 ноября 2021 г., N 1049н "О внесении изменений в Порядок выдачи медицинскими организациями справок и медицинских заключений, утвержденный приказом Министерства здравоохранения Российской Федерации от 14 сентября 2020 г. N 972</w:t>
      </w:r>
      <w:r>
        <w:t>н" (зарегистрирован Министерством юстиции Российской Федерации 25 ноября 2021 г., регистрационный N 65976), срок действия до 1 января 2027 года.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осуществление ведения медицинской документации и представление отчетности по видам, формам, в сроки и в объеме</w:t>
      </w:r>
      <w:r>
        <w:t>, которые установлены уполномоченным федеральным органом исполнительной власти &lt;5&gt;.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9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N 323-ФЗ.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13. Врач-педиатр/фельдшер/медицинская сестра-специалист</w:t>
      </w:r>
      <w:r>
        <w:t xml:space="preserve"> по оказанию медицинской помощи обучающимся (медицинский брат-специалист по оказанию медицинской помощи обучающимся) и медицинская сестра медицинского пункта осуществляют свои должностные обязанности в соответствии с функциями медицинского пункта образоват</w:t>
      </w:r>
      <w:r>
        <w:t xml:space="preserve">ельной организации, определенными </w:t>
      </w:r>
      <w:hyperlink w:anchor="P115" w:tooltip="11. Оснащение медицинского пункта осуществляется в соответствии со стандартом оснащения медицинского пункта образовательной организации, предусмотренным приложением N 3 к Порядку.">
        <w:r>
          <w:rPr>
            <w:color w:val="0000FF"/>
          </w:rPr>
          <w:t>пунктом 11</w:t>
        </w:r>
      </w:hyperlink>
      <w:r>
        <w:t xml:space="preserve"> настоящего Положения.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jc w:val="right"/>
        <w:outlineLvl w:val="1"/>
      </w:pPr>
      <w:r>
        <w:t>Приложение N 2</w:t>
      </w:r>
    </w:p>
    <w:p w:rsidR="00024582" w:rsidRDefault="00A0069C">
      <w:pPr>
        <w:pStyle w:val="ConsPlusNormal0"/>
        <w:jc w:val="right"/>
      </w:pPr>
      <w:r>
        <w:t>к Порядку оказания несовершеннолетним</w:t>
      </w:r>
    </w:p>
    <w:p w:rsidR="00024582" w:rsidRDefault="00A0069C">
      <w:pPr>
        <w:pStyle w:val="ConsPlusNormal0"/>
        <w:jc w:val="right"/>
      </w:pPr>
      <w:r>
        <w:t>медицинской помощи, в том числе в период</w:t>
      </w:r>
    </w:p>
    <w:p w:rsidR="00024582" w:rsidRDefault="00A0069C">
      <w:pPr>
        <w:pStyle w:val="ConsPlusNormal0"/>
        <w:jc w:val="right"/>
      </w:pPr>
      <w:r>
        <w:t>обучения и воспитания в образовательных</w:t>
      </w:r>
    </w:p>
    <w:p w:rsidR="00024582" w:rsidRDefault="00A0069C">
      <w:pPr>
        <w:pStyle w:val="ConsPlusNormal0"/>
        <w:jc w:val="right"/>
      </w:pPr>
      <w:r>
        <w:t>организациях, утвержденному приказом</w:t>
      </w:r>
    </w:p>
    <w:p w:rsidR="00024582" w:rsidRDefault="00A0069C">
      <w:pPr>
        <w:pStyle w:val="ConsPlusNormal0"/>
        <w:jc w:val="right"/>
      </w:pPr>
      <w:r>
        <w:t>Министерства здравоохранения</w:t>
      </w:r>
    </w:p>
    <w:p w:rsidR="00024582" w:rsidRDefault="00A0069C">
      <w:pPr>
        <w:pStyle w:val="ConsPlusNormal0"/>
        <w:jc w:val="right"/>
      </w:pPr>
      <w:r>
        <w:t>Российской Федерации</w:t>
      </w:r>
    </w:p>
    <w:p w:rsidR="00024582" w:rsidRDefault="00A0069C">
      <w:pPr>
        <w:pStyle w:val="ConsPlusNormal0"/>
        <w:jc w:val="right"/>
      </w:pPr>
      <w:r>
        <w:t>от 14 а</w:t>
      </w:r>
      <w:r>
        <w:t>преля 2025 г. N 213н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Title0"/>
        <w:jc w:val="center"/>
      </w:pPr>
      <w:bookmarkStart w:id="4" w:name="P166"/>
      <w:bookmarkEnd w:id="4"/>
      <w:r>
        <w:t>РЕКОМЕНДУЕМЫЕ ШТАТНЫЕ НОРМАТИВЫ</w:t>
      </w:r>
    </w:p>
    <w:p w:rsidR="00024582" w:rsidRDefault="00A0069C">
      <w:pPr>
        <w:pStyle w:val="ConsPlusTitle0"/>
        <w:jc w:val="center"/>
      </w:pPr>
      <w:r>
        <w:t>МЕДИЦИНСКИХ РАБОТНИКОВ МЕДИЦИНСКОГО ПУНКТА</w:t>
      </w:r>
    </w:p>
    <w:p w:rsidR="00024582" w:rsidRDefault="00A0069C">
      <w:pPr>
        <w:pStyle w:val="ConsPlusTitle0"/>
        <w:jc w:val="center"/>
      </w:pPr>
      <w:r>
        <w:t>ОБРАЗОВАТЕЛЬНОЙ ОРГАНИЗАЦИИ</w:t>
      </w:r>
    </w:p>
    <w:p w:rsidR="00024582" w:rsidRDefault="0002458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3431"/>
        <w:gridCol w:w="4965"/>
      </w:tblGrid>
      <w:tr w:rsidR="00024582">
        <w:tc>
          <w:tcPr>
            <w:tcW w:w="634" w:type="dxa"/>
          </w:tcPr>
          <w:p w:rsidR="00024582" w:rsidRDefault="00A0069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31" w:type="dxa"/>
          </w:tcPr>
          <w:p w:rsidR="00024582" w:rsidRDefault="00A0069C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965" w:type="dxa"/>
          </w:tcPr>
          <w:p w:rsidR="00024582" w:rsidRDefault="00A0069C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024582">
        <w:tc>
          <w:tcPr>
            <w:tcW w:w="634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31" w:type="dxa"/>
            <w:vMerge w:val="restart"/>
          </w:tcPr>
          <w:p w:rsidR="00024582" w:rsidRDefault="00A0069C">
            <w:pPr>
              <w:pStyle w:val="ConsPlusNormal0"/>
              <w:jc w:val="both"/>
            </w:pPr>
            <w:r>
              <w:t>Врач-педиатр/фельдшер/медицинская сестра-специалист по оказанию медицинской помощи обучающимся (медицинский брат-специалист по оказанию медицинской помощи обучающимся)</w:t>
            </w:r>
          </w:p>
        </w:tc>
        <w:tc>
          <w:tcPr>
            <w:tcW w:w="4965" w:type="dxa"/>
            <w:tcBorders>
              <w:bottom w:val="nil"/>
            </w:tcBorders>
          </w:tcPr>
          <w:p w:rsidR="00024582" w:rsidRDefault="00A0069C">
            <w:pPr>
              <w:pStyle w:val="ConsPlusNormal0"/>
              <w:jc w:val="both"/>
            </w:pPr>
            <w:r>
              <w:t>1 должность на:</w:t>
            </w:r>
          </w:p>
        </w:tc>
      </w:tr>
      <w:tr w:rsidR="00024582">
        <w:tc>
          <w:tcPr>
            <w:tcW w:w="634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343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4965" w:type="dxa"/>
            <w:tcBorders>
              <w:top w:val="nil"/>
            </w:tcBorders>
          </w:tcPr>
          <w:p w:rsidR="00024582" w:rsidRDefault="00A0069C">
            <w:pPr>
              <w:pStyle w:val="ConsPlusNormal0"/>
              <w:jc w:val="both"/>
            </w:pPr>
            <w:r>
              <w:t>180 - 200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024582" w:rsidRDefault="00A0069C">
            <w:pPr>
              <w:pStyle w:val="ConsPlusNormal0"/>
              <w:jc w:val="both"/>
            </w:pPr>
            <w:r>
              <w:t>400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:rsidR="00024582" w:rsidRDefault="00A0069C">
            <w:pPr>
              <w:pStyle w:val="ConsPlusNormal0"/>
              <w:jc w:val="both"/>
            </w:pPr>
            <w:r>
              <w:t xml:space="preserve">1000 </w:t>
            </w:r>
            <w:r>
              <w:t>несовершеннолетних общеобразовательных организаций.</w:t>
            </w:r>
          </w:p>
        </w:tc>
      </w:tr>
      <w:tr w:rsidR="00024582">
        <w:tc>
          <w:tcPr>
            <w:tcW w:w="634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31" w:type="dxa"/>
            <w:vMerge w:val="restart"/>
          </w:tcPr>
          <w:p w:rsidR="00024582" w:rsidRDefault="00A0069C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4965" w:type="dxa"/>
            <w:tcBorders>
              <w:bottom w:val="nil"/>
            </w:tcBorders>
            <w:vAlign w:val="bottom"/>
          </w:tcPr>
          <w:p w:rsidR="00024582" w:rsidRDefault="00A0069C">
            <w:pPr>
              <w:pStyle w:val="ConsPlusNormal0"/>
              <w:jc w:val="both"/>
            </w:pPr>
            <w:r>
              <w:t>1 должность на:</w:t>
            </w:r>
          </w:p>
        </w:tc>
      </w:tr>
      <w:tr w:rsidR="00024582">
        <w:tblPrEx>
          <w:tblBorders>
            <w:insideH w:val="nil"/>
          </w:tblBorders>
        </w:tblPrEx>
        <w:tc>
          <w:tcPr>
            <w:tcW w:w="634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343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4965" w:type="dxa"/>
            <w:tcBorders>
              <w:top w:val="nil"/>
            </w:tcBorders>
          </w:tcPr>
          <w:p w:rsidR="00024582" w:rsidRDefault="00A0069C">
            <w:pPr>
              <w:pStyle w:val="ConsPlusNormal0"/>
              <w:jc w:val="both"/>
            </w:pPr>
            <w:r>
              <w:t>100 несовершеннолетних в детских яслях (ясельных группах детских яслей-садов) дошкольных образовательных организаций;</w:t>
            </w:r>
          </w:p>
          <w:p w:rsidR="00024582" w:rsidRDefault="00A0069C">
            <w:pPr>
              <w:pStyle w:val="ConsPlusNormal0"/>
              <w:jc w:val="both"/>
            </w:pPr>
            <w:r>
              <w:t xml:space="preserve">100 несовершеннолетних в детских садах </w:t>
            </w:r>
            <w:r>
              <w:lastRenderedPageBreak/>
              <w:t>(соответствующих группах в детских яслях-садах) дошкольных образовательных организаций;</w:t>
            </w:r>
          </w:p>
          <w:p w:rsidR="00024582" w:rsidRDefault="00A0069C">
            <w:pPr>
              <w:pStyle w:val="ConsPlusNormal0"/>
              <w:jc w:val="both"/>
            </w:pPr>
            <w:r>
              <w:t>100 - 500 несовершеннолетних общеобразовательных организаций.</w:t>
            </w:r>
          </w:p>
        </w:tc>
      </w:tr>
    </w:tbl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jc w:val="right"/>
        <w:outlineLvl w:val="1"/>
      </w:pPr>
      <w:r>
        <w:t>Приложение N 3</w:t>
      </w:r>
    </w:p>
    <w:p w:rsidR="00024582" w:rsidRDefault="00A0069C">
      <w:pPr>
        <w:pStyle w:val="ConsPlusNormal0"/>
        <w:jc w:val="right"/>
      </w:pPr>
      <w:r>
        <w:t>к Порядку оказания несовершеннолетним</w:t>
      </w:r>
    </w:p>
    <w:p w:rsidR="00024582" w:rsidRDefault="00A0069C">
      <w:pPr>
        <w:pStyle w:val="ConsPlusNormal0"/>
        <w:jc w:val="right"/>
      </w:pPr>
      <w:r>
        <w:t>медицинской помощи, в том числе в период</w:t>
      </w:r>
    </w:p>
    <w:p w:rsidR="00024582" w:rsidRDefault="00A0069C">
      <w:pPr>
        <w:pStyle w:val="ConsPlusNormal0"/>
        <w:jc w:val="right"/>
      </w:pPr>
      <w:r>
        <w:t>обучения и воспитания в образовательных</w:t>
      </w:r>
    </w:p>
    <w:p w:rsidR="00024582" w:rsidRDefault="00A0069C">
      <w:pPr>
        <w:pStyle w:val="ConsPlusNormal0"/>
        <w:jc w:val="right"/>
      </w:pPr>
      <w:r>
        <w:t>организациях, утвержденному приказом</w:t>
      </w:r>
    </w:p>
    <w:p w:rsidR="00024582" w:rsidRDefault="00A0069C">
      <w:pPr>
        <w:pStyle w:val="ConsPlusNormal0"/>
        <w:jc w:val="right"/>
      </w:pPr>
      <w:r>
        <w:t>Министерства здравоохранения</w:t>
      </w:r>
    </w:p>
    <w:p w:rsidR="00024582" w:rsidRDefault="00A0069C">
      <w:pPr>
        <w:pStyle w:val="ConsPlusNormal0"/>
        <w:jc w:val="right"/>
      </w:pPr>
      <w:r>
        <w:t>Российской Федерации</w:t>
      </w:r>
    </w:p>
    <w:p w:rsidR="00024582" w:rsidRDefault="00A0069C">
      <w:pPr>
        <w:pStyle w:val="ConsPlusNormal0"/>
        <w:jc w:val="right"/>
      </w:pPr>
      <w:r>
        <w:t>от 14 апреля 2025 г. N 213н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Title0"/>
        <w:jc w:val="center"/>
      </w:pPr>
      <w:bookmarkStart w:id="5" w:name="P199"/>
      <w:bookmarkEnd w:id="5"/>
      <w:r>
        <w:t>СТАНДАРТ</w:t>
      </w:r>
    </w:p>
    <w:p w:rsidR="00024582" w:rsidRDefault="00A0069C">
      <w:pPr>
        <w:pStyle w:val="ConsPlusTitle0"/>
        <w:jc w:val="center"/>
      </w:pPr>
      <w:r>
        <w:t>ОСНАЩЕНИЯ МЕДИЦИНСКОГО ПУНКТА ОБРАЗОВАТЕЛЬНОЙ ОРГАНИЗАЦИИ</w:t>
      </w:r>
    </w:p>
    <w:p w:rsidR="00024582" w:rsidRDefault="00024582">
      <w:pPr>
        <w:pStyle w:val="ConsPlusNormal0"/>
        <w:jc w:val="center"/>
      </w:pPr>
    </w:p>
    <w:p w:rsidR="00024582" w:rsidRDefault="00A0069C">
      <w:pPr>
        <w:pStyle w:val="ConsPlusTitle0"/>
        <w:jc w:val="center"/>
        <w:outlineLvl w:val="2"/>
      </w:pPr>
      <w:r>
        <w:t>Медицинские изделия</w:t>
      </w:r>
    </w:p>
    <w:p w:rsidR="00024582" w:rsidRDefault="0002458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5"/>
        <w:gridCol w:w="1545"/>
        <w:gridCol w:w="2971"/>
        <w:gridCol w:w="2081"/>
        <w:gridCol w:w="1065"/>
      </w:tblGrid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445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258800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Весы напольные, </w:t>
            </w:r>
            <w:r>
              <w:t>электронные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Весы медицинские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Весы напольные, механические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3.</w:t>
            </w:r>
          </w:p>
          <w:p w:rsidR="00024582" w:rsidRDefault="00A0069C">
            <w:pPr>
              <w:pStyle w:val="ConsPlusNormal0"/>
              <w:jc w:val="center"/>
            </w:pPr>
            <w:r>
              <w:t>(наличие необходимо при отсутствии позиций 1 и 2)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370680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Весы напольные электронные с ростомером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Весы напольные с ростомером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216350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Тонометр с набором возрастных манжет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216560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Аппарат электронный для измерения артериального </w:t>
            </w:r>
            <w:r>
              <w:lastRenderedPageBreak/>
              <w:t>давления автоматический, портативный, с манжетой на палец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122830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Аппарат для измерения артериального давления электрический с ручным </w:t>
            </w:r>
            <w:proofErr w:type="spellStart"/>
            <w:r>
              <w:t>нагнетением</w:t>
            </w:r>
            <w:proofErr w:type="spellEnd"/>
            <w:r>
              <w:t>, стационарный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Аппарат для измерения артериального давления электрический с ручным </w:t>
            </w:r>
            <w:proofErr w:type="spellStart"/>
            <w:r>
              <w:t>нагнетением</w:t>
            </w:r>
            <w:proofErr w:type="spellEnd"/>
            <w:r>
              <w:t>, портативный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Стетофонендоскоп</w:t>
            </w:r>
            <w:proofErr w:type="spellEnd"/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103780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Динамометр/измеритель силы щипка ручной, механический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Динамометр кистевой 2-х видов (для детей разных возрастных групп)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4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Небулайзер</w:t>
            </w:r>
            <w:proofErr w:type="spellEnd"/>
            <w:r>
              <w:t xml:space="preserve"> настольный без подогрева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 xml:space="preserve">Портативный компрессорный </w:t>
            </w:r>
            <w:proofErr w:type="spellStart"/>
            <w:r>
              <w:t>небулайзер</w:t>
            </w:r>
            <w:proofErr w:type="spellEnd"/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Ингалятор аэрозольный не вентиляционный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335240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Термометр медицинский, термометр медицинский бесконтактный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4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190040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</w:t>
            </w:r>
            <w:r>
              <w:lastRenderedPageBreak/>
              <w:t>я у постели больного ИВД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lastRenderedPageBreak/>
              <w:t>Глюкометр</w:t>
            </w:r>
            <w:proofErr w:type="spellEnd"/>
            <w:r>
              <w:t xml:space="preserve"> с тест-полосками, ланцетами/скариф</w:t>
            </w:r>
            <w:r>
              <w:t>икаторами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344110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344120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Глюкометр</w:t>
            </w:r>
            <w:proofErr w:type="spellEnd"/>
            <w:r>
              <w:t xml:space="preserve">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345190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Глюкометр</w:t>
            </w:r>
            <w:proofErr w:type="spellEnd"/>
            <w:r>
              <w:t xml:space="preserve"> ИВД, для домашнего использования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345200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Глюкометр</w:t>
            </w:r>
            <w:proofErr w:type="spellEnd"/>
            <w:r>
              <w:t xml:space="preserve"> ИВД, для использования вблизи пациента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118500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Проектор для проверки остроты зрения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Аппарат Рота с таблицей Сивцева-Орловой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172730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Воздуховод </w:t>
            </w:r>
            <w:proofErr w:type="spellStart"/>
            <w:r>
              <w:t>ротоглоточный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Комплект воздуховодов </w:t>
            </w:r>
            <w:proofErr w:type="spellStart"/>
            <w:r>
              <w:t>ротоглоточных</w:t>
            </w:r>
            <w:proofErr w:type="spellEnd"/>
            <w:r>
              <w:t xml:space="preserve"> одноразового использования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Аппарат искусственной вентиляции легких </w:t>
            </w:r>
            <w:proofErr w:type="spellStart"/>
            <w:r>
              <w:t>Амбу</w:t>
            </w:r>
            <w:proofErr w:type="spellEnd"/>
            <w:r>
              <w:t xml:space="preserve"> (меш</w:t>
            </w:r>
            <w:r>
              <w:t xml:space="preserve">ок </w:t>
            </w:r>
            <w:proofErr w:type="spellStart"/>
            <w:r>
              <w:t>Амбу</w:t>
            </w:r>
            <w:proofErr w:type="spellEnd"/>
            <w:r>
              <w:t>)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260290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Лоток общего назначения, многоразового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Лоток медицинский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4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184200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Ширма прикроватная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Ширма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108710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Контейнер лабораторный общего назначения, многоразового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Мензурки градуированные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10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287660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Грелка согревающая термохимическая </w:t>
            </w:r>
            <w:proofErr w:type="spellStart"/>
            <w:r>
              <w:t>гелевая</w:t>
            </w:r>
            <w:proofErr w:type="spellEnd"/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Грелка медицинская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141410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Пакет для тепловой/</w:t>
            </w:r>
            <w:proofErr w:type="spellStart"/>
            <w:r>
              <w:t>холодовой</w:t>
            </w:r>
            <w:proofErr w:type="spellEnd"/>
            <w:r>
              <w:t xml:space="preserve"> терапии, многоразового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Пакет гипотермический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10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370570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Жгут для внутривенных манипуляций, многоразового использования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210370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114030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Носилки портативные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Носилки мягкие бескаркасные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338210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Шина на конечность для оказания первой помощи, не формуемая, одноразового использования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Гибкая шина для иммобилизации верхних и нижних конечностей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352050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Шина на конечность для оказания первой помощи,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363470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Шина на конечность для оказания первой помощи, не формуемая, многоразового использования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369080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128020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Шина надувная для конечностей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157270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Матрас вакуумный для позиционирования пациента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Вакуумный матрас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186210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Повязка косыночная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Косынка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182800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Воротник для шейного отдела позвоночника, многоразового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Воротник Шанца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по 1 в 2-х размерах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Столик манипуляционный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171650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Пинцет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4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169610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Щипцы для перевязочного материала/универсальные, в форме ножниц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Корнцанг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116910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Ножницы для перевязочного материала многоразового использования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Ножницы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4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Сейф-термостат для хранения препаратов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Сейф для хранения медикаментов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Холодильник фармацевтический с морозильной камерой до - 20C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352580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Холодильник/морозильная камера фармацевтический, с питанием от сети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Пульсоксиметр</w:t>
            </w:r>
            <w:proofErr w:type="spellEnd"/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Пульсоксиметр</w:t>
            </w:r>
            <w:proofErr w:type="spellEnd"/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261560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Термометр для холодильного оборудования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r>
              <w:t>Термометр для фармацевтического холодильника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2 на холодильник</w:t>
            </w:r>
          </w:p>
        </w:tc>
      </w:tr>
      <w:tr w:rsidR="00024582">
        <w:tc>
          <w:tcPr>
            <w:tcW w:w="1395" w:type="dxa"/>
          </w:tcPr>
          <w:p w:rsidR="00024582" w:rsidRDefault="00A0069C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334300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Термоконтейнер</w:t>
            </w:r>
            <w:proofErr w:type="spellEnd"/>
            <w:r>
              <w:t xml:space="preserve"> для транспортировки медицинских иммунобиологических препаратов</w:t>
            </w:r>
          </w:p>
        </w:tc>
        <w:tc>
          <w:tcPr>
            <w:tcW w:w="2081" w:type="dxa"/>
          </w:tcPr>
          <w:p w:rsidR="00024582" w:rsidRDefault="00A0069C">
            <w:pPr>
              <w:pStyle w:val="ConsPlusNormal0"/>
              <w:jc w:val="center"/>
            </w:pPr>
            <w:proofErr w:type="spellStart"/>
            <w:r>
              <w:t>Термоконтейнер</w:t>
            </w:r>
            <w:proofErr w:type="spellEnd"/>
            <w:r>
              <w:t xml:space="preserve"> для транспортировки медицинских иммунобиологических препаратов</w:t>
            </w:r>
          </w:p>
        </w:tc>
        <w:tc>
          <w:tcPr>
            <w:tcW w:w="1065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39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187150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Стол для осм</w:t>
            </w:r>
            <w:r>
              <w:t>отра/терапевтических процедур, с питанием от сети</w:t>
            </w:r>
          </w:p>
        </w:tc>
        <w:tc>
          <w:tcPr>
            <w:tcW w:w="2081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065" w:type="dxa"/>
            <w:vMerge w:val="restart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116920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Стол/кушетка массажный, без </w:t>
            </w:r>
            <w:r>
              <w:lastRenderedPageBreak/>
              <w:t>электропитания, портативный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116940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Стол/кушетка массажный, с питанием от сети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116990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 xml:space="preserve">Стол/кушетка массажный, без электропитания, </w:t>
            </w:r>
            <w:proofErr w:type="spellStart"/>
            <w:r>
              <w:t>непортативный</w:t>
            </w:r>
            <w:proofErr w:type="spellEnd"/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131950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Стойка для внутривенных вливаний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156900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Стеллаж для палаты пациента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259880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  <w:tr w:rsidR="00024582">
        <w:tc>
          <w:tcPr>
            <w:tcW w:w="1395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545" w:type="dxa"/>
          </w:tcPr>
          <w:p w:rsidR="00024582" w:rsidRDefault="00A0069C">
            <w:pPr>
              <w:pStyle w:val="ConsPlusNormal0"/>
              <w:jc w:val="center"/>
            </w:pPr>
            <w:r>
              <w:t>260470</w:t>
            </w:r>
          </w:p>
        </w:tc>
        <w:tc>
          <w:tcPr>
            <w:tcW w:w="2971" w:type="dxa"/>
          </w:tcPr>
          <w:p w:rsidR="00024582" w:rsidRDefault="00A0069C">
            <w:pPr>
              <w:pStyle w:val="ConsPlusNormal0"/>
              <w:jc w:val="center"/>
            </w:pPr>
            <w:r>
              <w:t>Стеллаж общего назначения</w:t>
            </w:r>
          </w:p>
        </w:tc>
        <w:tc>
          <w:tcPr>
            <w:tcW w:w="2081" w:type="dxa"/>
            <w:vMerge/>
          </w:tcPr>
          <w:p w:rsidR="00024582" w:rsidRDefault="00024582">
            <w:pPr>
              <w:pStyle w:val="ConsPlusNormal0"/>
            </w:pPr>
          </w:p>
        </w:tc>
        <w:tc>
          <w:tcPr>
            <w:tcW w:w="1065" w:type="dxa"/>
            <w:vMerge/>
          </w:tcPr>
          <w:p w:rsidR="00024582" w:rsidRDefault="00024582">
            <w:pPr>
              <w:pStyle w:val="ConsPlusNormal0"/>
            </w:pPr>
          </w:p>
        </w:tc>
      </w:tr>
    </w:tbl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Normal0"/>
        <w:ind w:firstLine="540"/>
        <w:jc w:val="both"/>
      </w:pPr>
      <w:r>
        <w:t>--------------------------------</w:t>
      </w:r>
    </w:p>
    <w:p w:rsidR="00024582" w:rsidRDefault="00A0069C">
      <w:pPr>
        <w:pStyle w:val="ConsPlusNormal0"/>
        <w:spacing w:before="200"/>
        <w:ind w:firstLine="540"/>
        <w:jc w:val="both"/>
      </w:pPr>
      <w:bookmarkStart w:id="6" w:name="P445"/>
      <w:bookmarkEnd w:id="6"/>
      <w:r>
        <w:t xml:space="preserve">&lt;1&gt; </w:t>
      </w:r>
      <w:hyperlink r:id="rId3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024582" w:rsidRDefault="00024582">
      <w:pPr>
        <w:pStyle w:val="ConsPlusNormal0"/>
        <w:ind w:firstLine="540"/>
        <w:jc w:val="both"/>
      </w:pPr>
    </w:p>
    <w:p w:rsidR="00024582" w:rsidRDefault="00A0069C">
      <w:pPr>
        <w:pStyle w:val="ConsPlusTitle0"/>
        <w:jc w:val="center"/>
        <w:outlineLvl w:val="2"/>
      </w:pPr>
      <w:r>
        <w:t>Прочее оборудование (оснащение)</w:t>
      </w:r>
    </w:p>
    <w:p w:rsidR="00024582" w:rsidRDefault="0002458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5940"/>
        <w:gridCol w:w="2080"/>
      </w:tblGrid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Рабочее место врача/фельдшера/медицинской сестры-специалиста по оказанию медицинской помощи обучающимся: стол, стул (кресло), персональный компьютер с программным обеспечением и выходом в информационно-телекоммуникационную сеть "Интернет" и (или) в региона</w:t>
            </w:r>
            <w:r>
              <w:t>льную (федеральную) защищенную сеть передачи данных, соответствующий требованиям информационной безопасности информационных систем, 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Рабочее место медицинской сестры: стол, стул (кресло), персон</w:t>
            </w:r>
            <w:r>
              <w:t xml:space="preserve">альный компьютер с программным обеспечением и выходом в информационно-телекоммуникационную сеть "Интернет" и (или) в региональную (федеральную) защищенную сеть передачи данных, соответствующий требованиям информационной безопасности информационных систем, </w:t>
            </w:r>
            <w:r>
              <w:t>с которыми необходимо обеспечить взаимодействие, принтер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Шкаф для хранения лекарственных средств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Диспенсер для мыла с расходными материалами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по количеству кабинетов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Диспенсер для кожного антисептика с расходными материалами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по количеству кабинетов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Диспенсер для бумажных полотенец с расходными материалами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по количеству кабинетов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Ведро с педальной крышкой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2 на кабинет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Секундомер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Сантиметровая лента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Фонарик ручной для осмотра/терапевтических процедур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Емкости для дезинфицирующих средств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Емкости для сбора бытовых и медицинских отходов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Коврик (1 м x 1,5 м)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1</w:t>
            </w:r>
          </w:p>
        </w:tc>
      </w:tr>
      <w:tr w:rsidR="00024582">
        <w:tc>
          <w:tcPr>
            <w:tcW w:w="1050" w:type="dxa"/>
          </w:tcPr>
          <w:p w:rsidR="00024582" w:rsidRDefault="00A0069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940" w:type="dxa"/>
          </w:tcPr>
          <w:p w:rsidR="00024582" w:rsidRDefault="00A0069C">
            <w:pPr>
              <w:pStyle w:val="ConsPlusNormal0"/>
            </w:pPr>
            <w:r>
              <w:t>Комплект оборудования для наглядной пропаганды здорового образа жизни</w:t>
            </w:r>
          </w:p>
        </w:tc>
        <w:tc>
          <w:tcPr>
            <w:tcW w:w="2080" w:type="dxa"/>
          </w:tcPr>
          <w:p w:rsidR="00024582" w:rsidRDefault="00A0069C">
            <w:pPr>
              <w:pStyle w:val="ConsPlusNormal0"/>
              <w:jc w:val="center"/>
            </w:pPr>
            <w:r>
              <w:t>2</w:t>
            </w:r>
          </w:p>
        </w:tc>
      </w:tr>
    </w:tbl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ind w:firstLine="540"/>
        <w:jc w:val="both"/>
      </w:pPr>
    </w:p>
    <w:p w:rsidR="00024582" w:rsidRDefault="000245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4582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9C" w:rsidRDefault="00A0069C">
      <w:r>
        <w:separator/>
      </w:r>
    </w:p>
  </w:endnote>
  <w:endnote w:type="continuationSeparator" w:id="0">
    <w:p w:rsidR="00A0069C" w:rsidRDefault="00A0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582" w:rsidRDefault="000245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45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4582" w:rsidRDefault="00A006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24582" w:rsidRDefault="00A006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4582" w:rsidRDefault="00A006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8449D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8449D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024582" w:rsidRDefault="00A0069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582" w:rsidRDefault="000245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45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24582" w:rsidRDefault="00A006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24582" w:rsidRDefault="00A006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24582" w:rsidRDefault="00A006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8449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8449D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024582" w:rsidRDefault="00A0069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9C" w:rsidRDefault="00A0069C">
      <w:r>
        <w:separator/>
      </w:r>
    </w:p>
  </w:footnote>
  <w:footnote w:type="continuationSeparator" w:id="0">
    <w:p w:rsidR="00A0069C" w:rsidRDefault="00A00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245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4582" w:rsidRDefault="00A006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213н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оказания несовершеннолетним медицинской помощи,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т...</w:t>
          </w:r>
          <w:proofErr w:type="gramEnd"/>
        </w:p>
      </w:tc>
      <w:tc>
        <w:tcPr>
          <w:tcW w:w="2300" w:type="pct"/>
          <w:vAlign w:val="center"/>
        </w:tcPr>
        <w:p w:rsidR="00024582" w:rsidRDefault="00A006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19.06.2025</w:t>
          </w:r>
        </w:p>
      </w:tc>
    </w:tr>
  </w:tbl>
  <w:p w:rsidR="00024582" w:rsidRDefault="000245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4582" w:rsidRDefault="0002458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245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24582" w:rsidRDefault="00A006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213н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оказания несовершеннолетним медицинской помощи,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т...</w:t>
          </w:r>
          <w:proofErr w:type="gramEnd"/>
        </w:p>
      </w:tc>
      <w:tc>
        <w:tcPr>
          <w:tcW w:w="2300" w:type="pct"/>
          <w:vAlign w:val="center"/>
        </w:tcPr>
        <w:p w:rsidR="00024582" w:rsidRDefault="00A006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19.06.2025</w:t>
          </w:r>
        </w:p>
      </w:tc>
    </w:tr>
  </w:tbl>
  <w:p w:rsidR="00024582" w:rsidRDefault="000245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24582" w:rsidRDefault="0002458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4582"/>
    <w:rsid w:val="00024582"/>
    <w:rsid w:val="00A0069C"/>
    <w:rsid w:val="00A8449D"/>
    <w:rsid w:val="00E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3D7FE-EC28-46B6-8ADA-F47E5894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686" TargetMode="External"/><Relationship Id="rId13" Type="http://schemas.openxmlformats.org/officeDocument/2006/relationships/hyperlink" Target="https://login.consultant.ru/link/?req=doc&amp;base=LAW&amp;n=505886&amp;dst=102" TargetMode="External"/><Relationship Id="rId18" Type="http://schemas.openxmlformats.org/officeDocument/2006/relationships/hyperlink" Target="https://login.consultant.ru/link/?req=doc&amp;base=LAW&amp;n=481289&amp;dst=100264" TargetMode="External"/><Relationship Id="rId26" Type="http://schemas.openxmlformats.org/officeDocument/2006/relationships/hyperlink" Target="https://login.consultant.ru/link/?req=doc&amp;base=LAW&amp;n=481289&amp;dst=4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4021&amp;dst=100020" TargetMode="External"/><Relationship Id="rId34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04021&amp;dst=100347" TargetMode="External"/><Relationship Id="rId12" Type="http://schemas.openxmlformats.org/officeDocument/2006/relationships/hyperlink" Target="https://login.consultant.ru/link/?req=doc&amp;base=LAW&amp;n=481289" TargetMode="External"/><Relationship Id="rId17" Type="http://schemas.openxmlformats.org/officeDocument/2006/relationships/hyperlink" Target="https://login.consultant.ru/link/?req=doc&amp;base=LAW&amp;n=401289&amp;dst=100011" TargetMode="External"/><Relationship Id="rId25" Type="http://schemas.openxmlformats.org/officeDocument/2006/relationships/hyperlink" Target="https://login.consultant.ru/link/?req=doc&amp;base=LAW&amp;n=504021&amp;dst=100020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289" TargetMode="External"/><Relationship Id="rId20" Type="http://schemas.openxmlformats.org/officeDocument/2006/relationships/hyperlink" Target="https://login.consultant.ru/link/?req=doc&amp;base=LAW&amp;n=481289&amp;dst=426" TargetMode="External"/><Relationship Id="rId29" Type="http://schemas.openxmlformats.org/officeDocument/2006/relationships/hyperlink" Target="https://login.consultant.ru/link/?req=doc&amp;base=LAW&amp;n=481289&amp;dst=7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188" TargetMode="External"/><Relationship Id="rId11" Type="http://schemas.openxmlformats.org/officeDocument/2006/relationships/hyperlink" Target="https://login.consultant.ru/link/?req=doc&amp;base=LAW&amp;n=481289&amp;dst=188" TargetMode="External"/><Relationship Id="rId24" Type="http://schemas.openxmlformats.org/officeDocument/2006/relationships/hyperlink" Target="https://login.consultant.ru/link/?req=doc&amp;base=LAW&amp;n=361253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5886&amp;dst=102" TargetMode="External"/><Relationship Id="rId23" Type="http://schemas.openxmlformats.org/officeDocument/2006/relationships/hyperlink" Target="https://login.consultant.ru/link/?req=doc&amp;base=LAW&amp;n=361253&amp;dst=100009" TargetMode="External"/><Relationship Id="rId28" Type="http://schemas.openxmlformats.org/officeDocument/2006/relationships/hyperlink" Target="https://login.consultant.ru/link/?req=doc&amp;base=LAW&amp;n=401289&amp;dst=10001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243&amp;dst=101972" TargetMode="External"/><Relationship Id="rId19" Type="http://schemas.openxmlformats.org/officeDocument/2006/relationships/hyperlink" Target="https://login.consultant.ru/link/?req=doc&amp;base=LAW&amp;n=401289&amp;dst=100011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88253" TargetMode="External"/><Relationship Id="rId14" Type="http://schemas.openxmlformats.org/officeDocument/2006/relationships/hyperlink" Target="https://login.consultant.ru/link/?req=doc&amp;base=LAW&amp;n=481289&amp;dst=426" TargetMode="External"/><Relationship Id="rId22" Type="http://schemas.openxmlformats.org/officeDocument/2006/relationships/hyperlink" Target="https://login.consultant.ru/link/?req=doc&amp;base=LAW&amp;n=504021&amp;dst=100020" TargetMode="External"/><Relationship Id="rId27" Type="http://schemas.openxmlformats.org/officeDocument/2006/relationships/hyperlink" Target="https://login.consultant.ru/link/?req=doc&amp;base=LAW&amp;n=481289" TargetMode="External"/><Relationship Id="rId30" Type="http://schemas.openxmlformats.org/officeDocument/2006/relationships/hyperlink" Target="https://login.consultant.ru/link/?req=doc&amp;base=LAW&amp;n=481289&amp;dst=100415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6111</Words>
  <Characters>34835</Characters>
  <Application>Microsoft Office Word</Application>
  <DocSecurity>0</DocSecurity>
  <Lines>290</Lines>
  <Paragraphs>81</Paragraphs>
  <ScaleCrop>false</ScaleCrop>
  <Company>КонсультантПлюс Версия 4025.00.02</Company>
  <LinksUpToDate>false</LinksUpToDate>
  <CharactersWithSpaces>40865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213н
"Об утверждении порядка оказания несовершеннолетним медицинской помощи, в том числе в период обучения и воспитания в образовательных организациях"
(Зарегистрировано в Минюсте России 26.05.2025 N 82322)</dc:title>
  <cp:lastModifiedBy>Татьяна Геннадьевна Федоренко</cp:lastModifiedBy>
  <cp:revision>3</cp:revision>
  <dcterms:created xsi:type="dcterms:W3CDTF">2025-06-19T06:49:00Z</dcterms:created>
  <dcterms:modified xsi:type="dcterms:W3CDTF">2025-06-23T01:38:00Z</dcterms:modified>
</cp:coreProperties>
</file>