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spacing w:after="0" w:before="0"/>
        <w:ind/>
        <w:jc w:val="center"/>
        <w:rPr>
          <w:b w:val="1"/>
          <w:i w:val="1"/>
          <w:color w:val="202020"/>
        </w:rPr>
      </w:pPr>
      <w:bookmarkStart w:id="1" w:name="_GoBack"/>
      <w:bookmarkEnd w:id="1"/>
    </w:p>
    <w:p w14:paraId="02000000">
      <w:pPr>
        <w:pStyle w:val="Style_1"/>
        <w:spacing w:after="0" w:before="0"/>
        <w:ind/>
        <w:jc w:val="center"/>
        <w:rPr>
          <w:rFonts w:ascii="Georgia" w:hAnsi="Georgia"/>
          <w:color w:val="202020"/>
        </w:rPr>
      </w:pPr>
    </w:p>
    <w:tbl>
      <w:tblPr>
        <w:tblStyle w:val="Style_2"/>
        <w:tblpPr w:bottomFromText="0" w:horzAnchor="margin" w:leftFromText="180" w:rightFromText="180" w:tblpXSpec="right" w:tblpY="1" w:topFromText="0" w:vertAnchor="margin"/>
        <w:tblW w:type="auto" w:w="0"/>
        <w:tblLayout w:type="fixed"/>
      </w:tblPr>
      <w:tblGrid>
        <w:gridCol w:w="8060"/>
      </w:tblGrid>
      <w:tr>
        <w:trPr>
          <w:trHeight w:hRule="atLeast" w:val="2418"/>
        </w:trPr>
        <w:tc>
          <w:tcPr>
            <w:tcW w:type="dxa" w:w="8060"/>
          </w:tcPr>
          <w:p w14:paraId="03000000">
            <w:pPr>
              <w:pStyle w:val="Style_1"/>
              <w:ind/>
              <w:jc w:val="center"/>
              <w:rPr>
                <w:rStyle w:val="Style_3_ch"/>
                <w:sz w:val="18"/>
              </w:rPr>
            </w:pPr>
          </w:p>
          <w:p w14:paraId="04000000">
            <w:pPr>
              <w:spacing w:after="0" w:line="240" w:lineRule="auto"/>
              <w:ind w:right="47"/>
              <w:jc w:val="center"/>
              <w:rPr>
                <w:rFonts w:ascii="Times New Roman" w:hAnsi="Times New Roman"/>
                <w:b w:val="1"/>
                <w:color w:val="2C2929"/>
                <w:sz w:val="36"/>
              </w:rPr>
            </w:pPr>
          </w:p>
          <w:p w14:paraId="05000000">
            <w:pPr>
              <w:spacing w:after="0" w:line="240" w:lineRule="auto"/>
              <w:ind w:right="47"/>
              <w:jc w:val="center"/>
              <w:rPr>
                <w:rFonts w:ascii="Times New Roman" w:hAnsi="Times New Roman"/>
                <w:b w:val="1"/>
                <w:i w:val="1"/>
                <w:sz w:val="36"/>
              </w:rPr>
            </w:pPr>
            <w:r>
              <w:rPr>
                <w:rFonts w:ascii="Times New Roman" w:hAnsi="Times New Roman"/>
                <w:b w:val="1"/>
                <w:i w:val="1"/>
                <w:sz w:val="36"/>
              </w:rPr>
              <w:t xml:space="preserve">Прокуратура </w:t>
            </w:r>
          </w:p>
          <w:p w14:paraId="06000000">
            <w:pPr>
              <w:spacing w:after="0" w:line="240" w:lineRule="auto"/>
              <w:ind w:right="47"/>
              <w:jc w:val="center"/>
              <w:rPr>
                <w:rFonts w:ascii="Times New Roman" w:hAnsi="Times New Roman"/>
                <w:b w:val="1"/>
                <w:i w:val="1"/>
                <w:sz w:val="36"/>
              </w:rPr>
            </w:pPr>
            <w:r>
              <w:rPr>
                <w:rFonts w:ascii="Times New Roman" w:hAnsi="Times New Roman"/>
                <w:b w:val="1"/>
                <w:i w:val="1"/>
                <w:sz w:val="36"/>
              </w:rPr>
              <w:t>Трусовского</w:t>
            </w:r>
            <w:r>
              <w:rPr>
                <w:rFonts w:ascii="Times New Roman" w:hAnsi="Times New Roman"/>
                <w:b w:val="1"/>
                <w:i w:val="1"/>
                <w:sz w:val="36"/>
              </w:rPr>
              <w:t xml:space="preserve"> района </w:t>
            </w:r>
            <w:r>
              <w:rPr>
                <w:rFonts w:ascii="Times New Roman" w:hAnsi="Times New Roman"/>
                <w:b w:val="1"/>
                <w:i w:val="1"/>
                <w:sz w:val="36"/>
              </w:rPr>
              <w:t>г</w:t>
            </w:r>
            <w:r>
              <w:rPr>
                <w:rFonts w:ascii="Times New Roman" w:hAnsi="Times New Roman"/>
                <w:b w:val="1"/>
                <w:i w:val="1"/>
                <w:sz w:val="36"/>
              </w:rPr>
              <w:t xml:space="preserve">. Астрахани </w:t>
            </w:r>
            <w:r>
              <w:rPr>
                <w:rFonts w:ascii="Times New Roman" w:hAnsi="Times New Roman"/>
                <w:b w:val="1"/>
                <w:i w:val="1"/>
                <w:sz w:val="36"/>
              </w:rPr>
              <w:t>разъясняет:</w:t>
            </w:r>
          </w:p>
          <w:p w14:paraId="07000000">
            <w:pPr>
              <w:spacing w:after="0" w:line="240" w:lineRule="auto"/>
              <w:ind w:right="47"/>
              <w:jc w:val="center"/>
              <w:rPr>
                <w:rFonts w:ascii="Times New Roman" w:hAnsi="Times New Roman"/>
                <w:b w:val="1"/>
                <w:i w:val="1"/>
                <w:sz w:val="36"/>
              </w:rPr>
            </w:pPr>
          </w:p>
          <w:p w14:paraId="08000000">
            <w:pPr>
              <w:spacing w:after="0" w:line="240" w:lineRule="auto"/>
              <w:ind w:right="47"/>
              <w:jc w:val="both"/>
              <w:rPr>
                <w:rFonts w:ascii="Times New Roman" w:hAnsi="Times New Roman"/>
                <w:color w:val="2C2929"/>
                <w:sz w:val="24"/>
              </w:rPr>
            </w:pPr>
            <w:r>
              <w:rPr>
                <w:rFonts w:ascii="Times New Roman" w:hAnsi="Times New Roman"/>
                <w:color w:val="2C2929"/>
                <w:sz w:val="24"/>
              </w:rPr>
              <w:t>Самому строгому из предусмотренных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Законом видов ответственности – Уголовной за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преступления в сфере незаконного оборота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наркотиков подлежат лица, достигшие 16-тилетнего возраста.</w:t>
            </w:r>
          </w:p>
          <w:p w14:paraId="09000000">
            <w:pPr>
              <w:spacing w:after="0" w:line="240" w:lineRule="auto"/>
              <w:ind w:right="47"/>
              <w:jc w:val="both"/>
              <w:rPr>
                <w:rFonts w:ascii="Times New Roman" w:hAnsi="Times New Roman"/>
                <w:color w:val="2C2929"/>
                <w:sz w:val="24"/>
              </w:rPr>
            </w:pPr>
            <w:r>
              <w:rPr>
                <w:rFonts w:ascii="Times New Roman" w:hAnsi="Times New Roman"/>
                <w:color w:val="2C2929"/>
                <w:sz w:val="24"/>
              </w:rPr>
              <w:t>Но за хищение и вымогательство наркотических средств ответственность наступает с 14 лет.</w:t>
            </w:r>
          </w:p>
          <w:p w14:paraId="0A000000">
            <w:pPr>
              <w:spacing w:after="0" w:line="240" w:lineRule="auto"/>
              <w:ind w:right="47"/>
              <w:jc w:val="both"/>
              <w:rPr>
                <w:rFonts w:ascii="Times New Roman" w:hAnsi="Times New Roman"/>
                <w:color w:val="2C2929"/>
                <w:sz w:val="24"/>
              </w:rPr>
            </w:pPr>
            <w:r>
              <w:rPr>
                <w:rFonts w:ascii="Times New Roman" w:hAnsi="Times New Roman"/>
                <w:color w:val="2C2929"/>
                <w:sz w:val="24"/>
              </w:rPr>
              <w:t xml:space="preserve">И 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до наступления </w:t>
            </w:r>
            <w:r>
              <w:rPr>
                <w:rFonts w:ascii="Times New Roman" w:hAnsi="Times New Roman"/>
                <w:color w:val="2C2929"/>
                <w:sz w:val="24"/>
              </w:rPr>
              <w:t>возраста уголовной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ответственности правоохранительными органами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совместно с комиссиями по делам </w:t>
            </w:r>
          </w:p>
          <w:p w14:paraId="0B000000">
            <w:pPr>
              <w:spacing w:after="0" w:line="240" w:lineRule="auto"/>
              <w:ind w:right="47"/>
              <w:jc w:val="both"/>
              <w:rPr>
                <w:rFonts w:ascii="Times New Roman" w:hAnsi="Times New Roman"/>
                <w:color w:val="2C2929"/>
                <w:sz w:val="24"/>
              </w:rPr>
            </w:pPr>
            <w:r>
              <w:rPr>
                <w:rFonts w:ascii="Times New Roman" w:hAnsi="Times New Roman"/>
                <w:color w:val="2C2929"/>
                <w:sz w:val="24"/>
              </w:rPr>
              <w:t>несовершеннолетних применяются меры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ответственности к виновному лицу, а также его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родителям либо лицам, их заменяющим.</w:t>
            </w:r>
          </w:p>
          <w:p w14:paraId="0C000000">
            <w:pPr>
              <w:spacing w:after="0" w:line="240" w:lineRule="auto"/>
              <w:ind w:right="47"/>
              <w:jc w:val="both"/>
              <w:rPr>
                <w:rFonts w:ascii="Times New Roman" w:hAnsi="Times New Roman"/>
                <w:color w:val="2C2929"/>
                <w:sz w:val="24"/>
              </w:rPr>
            </w:pPr>
            <w:r>
              <w:rPr>
                <w:rFonts w:ascii="Times New Roman" w:hAnsi="Times New Roman"/>
                <w:color w:val="2C2929"/>
                <w:sz w:val="24"/>
              </w:rPr>
              <w:t>К правонарушителям применяется в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обязательном порядке постановка на учет и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дальнейшая профилактическая работа. Согласно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ч</w:t>
            </w:r>
            <w:r>
              <w:rPr>
                <w:rFonts w:ascii="Times New Roman" w:hAnsi="Times New Roman"/>
                <w:color w:val="2C2929"/>
                <w:sz w:val="24"/>
              </w:rPr>
              <w:t>. 2 ст. 87 УК РФ к несовершеннолетним,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совершившим преступления, могут быть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применены принудительные меры воспитательного воздействия либо им может быть</w:t>
            </w:r>
          </w:p>
          <w:p w14:paraId="0D000000">
            <w:pPr>
              <w:spacing w:after="0" w:line="240" w:lineRule="auto"/>
              <w:ind w:right="47"/>
              <w:rPr>
                <w:rFonts w:ascii="Times New Roman" w:hAnsi="Times New Roman"/>
                <w:color w:val="2C2929"/>
                <w:sz w:val="24"/>
              </w:rPr>
            </w:pPr>
            <w:r>
              <w:rPr>
                <w:rFonts w:ascii="Times New Roman" w:hAnsi="Times New Roman"/>
                <w:color w:val="2C2929"/>
                <w:sz w:val="24"/>
              </w:rPr>
              <w:t>назначено наказание, а при освобождении от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наказания судом они могут быть также помещены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в 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специальное учебно-воспитательное </w:t>
            </w:r>
            <w:r>
              <w:rPr>
                <w:rFonts w:ascii="Times New Roman" w:hAnsi="Times New Roman"/>
                <w:color w:val="2C2929"/>
                <w:sz w:val="24"/>
              </w:rPr>
              <w:t>учреждение закрытого типа.</w:t>
            </w:r>
          </w:p>
          <w:p w14:paraId="0E000000">
            <w:pPr>
              <w:spacing w:after="0" w:line="240" w:lineRule="auto"/>
              <w:ind w:right="47"/>
              <w:jc w:val="both"/>
              <w:rPr>
                <w:rFonts w:ascii="Times New Roman" w:hAnsi="Times New Roman"/>
                <w:color w:val="2C2929"/>
                <w:sz w:val="24"/>
              </w:rPr>
            </w:pPr>
            <w:r>
              <w:rPr>
                <w:rFonts w:ascii="Times New Roman" w:hAnsi="Times New Roman"/>
                <w:color w:val="2C2929"/>
                <w:sz w:val="24"/>
              </w:rPr>
              <w:t xml:space="preserve">Не менее значимой </w:t>
            </w:r>
            <w:r>
              <w:rPr>
                <w:rFonts w:ascii="Times New Roman" w:hAnsi="Times New Roman"/>
                <w:color w:val="2C2929"/>
                <w:sz w:val="24"/>
              </w:rPr>
              <w:t>является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возможно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с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п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рименения к </w:t>
            </w:r>
            <w:r>
              <w:rPr>
                <w:rFonts w:ascii="Times New Roman" w:hAnsi="Times New Roman"/>
                <w:color w:val="2C2929"/>
                <w:sz w:val="24"/>
              </w:rPr>
              <w:t>н</w:t>
            </w:r>
            <w:r>
              <w:rPr>
                <w:rFonts w:ascii="Times New Roman" w:hAnsi="Times New Roman"/>
                <w:color w:val="2C2929"/>
                <w:sz w:val="24"/>
              </w:rPr>
              <w:t>есовершеннолетним правонаруш</w:t>
            </w:r>
            <w:r>
              <w:rPr>
                <w:rFonts w:ascii="Times New Roman" w:hAnsi="Times New Roman"/>
                <w:color w:val="2C2929"/>
                <w:sz w:val="24"/>
              </w:rPr>
              <w:t>ителям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имеющим опыт употребления </w:t>
            </w:r>
          </w:p>
          <w:p w14:paraId="0F000000">
            <w:pPr>
              <w:spacing w:after="0" w:line="240" w:lineRule="auto"/>
              <w:ind w:right="47"/>
              <w:jc w:val="both"/>
              <w:rPr>
                <w:rFonts w:ascii="Times New Roman" w:hAnsi="Times New Roman"/>
                <w:color w:val="2C2929"/>
                <w:sz w:val="24"/>
              </w:rPr>
            </w:pPr>
            <w:r>
              <w:rPr>
                <w:rFonts w:ascii="Times New Roman" w:hAnsi="Times New Roman"/>
                <w:color w:val="2C2929"/>
                <w:sz w:val="24"/>
              </w:rPr>
              <w:t>наркотиков, принудительных мер медицинского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характера в виде:</w:t>
            </w:r>
          </w:p>
          <w:p w14:paraId="10000000">
            <w:pPr>
              <w:spacing w:after="0" w:line="240" w:lineRule="auto"/>
              <w:ind w:right="47"/>
              <w:jc w:val="both"/>
              <w:rPr>
                <w:rFonts w:ascii="Times New Roman" w:hAnsi="Times New Roman"/>
                <w:color w:val="2C2929"/>
                <w:sz w:val="24"/>
              </w:rPr>
            </w:pPr>
            <w:r>
              <w:rPr>
                <w:rFonts w:ascii="Times New Roman" w:hAnsi="Times New Roman"/>
                <w:color w:val="2C2929"/>
                <w:sz w:val="24"/>
              </w:rPr>
              <w:t>а) амбулаторного принудительного наблюдения и лечения у врача психиатра;</w:t>
            </w:r>
          </w:p>
          <w:p w14:paraId="11000000">
            <w:pPr>
              <w:spacing w:after="0" w:line="240" w:lineRule="auto"/>
              <w:ind w:right="47"/>
              <w:jc w:val="both"/>
              <w:rPr>
                <w:rFonts w:ascii="Times New Roman" w:hAnsi="Times New Roman"/>
                <w:color w:val="2C2929"/>
                <w:sz w:val="24"/>
              </w:rPr>
            </w:pPr>
            <w:r>
              <w:rPr>
                <w:rFonts w:ascii="Times New Roman" w:hAnsi="Times New Roman"/>
                <w:color w:val="2C2929"/>
                <w:sz w:val="24"/>
              </w:rPr>
              <w:t>б) принудительного лечения в психиатрическом стационаре общего типа;</w:t>
            </w:r>
          </w:p>
          <w:p w14:paraId="12000000">
            <w:pPr>
              <w:spacing w:after="0" w:line="240" w:lineRule="auto"/>
              <w:ind w:right="47"/>
              <w:jc w:val="both"/>
              <w:rPr>
                <w:rFonts w:ascii="Times New Roman" w:hAnsi="Times New Roman"/>
                <w:color w:val="2C2929"/>
                <w:sz w:val="24"/>
              </w:rPr>
            </w:pPr>
            <w:r>
              <w:rPr>
                <w:rFonts w:ascii="Times New Roman" w:hAnsi="Times New Roman"/>
                <w:color w:val="2C2929"/>
                <w:sz w:val="24"/>
              </w:rPr>
              <w:t>в) принудительного лечени</w:t>
            </w:r>
            <w:r>
              <w:rPr>
                <w:rFonts w:ascii="Times New Roman" w:hAnsi="Times New Roman"/>
                <w:color w:val="2C2929"/>
                <w:sz w:val="24"/>
              </w:rPr>
              <w:t>я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в стационаре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специализированного типа;</w:t>
            </w:r>
          </w:p>
          <w:p w14:paraId="13000000">
            <w:pPr>
              <w:spacing w:after="0" w:line="240" w:lineRule="auto"/>
              <w:ind w:right="47"/>
              <w:jc w:val="both"/>
              <w:rPr>
                <w:rFonts w:ascii="Times New Roman" w:hAnsi="Times New Roman"/>
                <w:color w:val="2C2929"/>
                <w:sz w:val="24"/>
              </w:rPr>
            </w:pPr>
            <w:r>
              <w:rPr>
                <w:rFonts w:ascii="Times New Roman" w:hAnsi="Times New Roman"/>
                <w:color w:val="2C2929"/>
                <w:sz w:val="24"/>
              </w:rPr>
              <w:t>г) принудительного лечени</w:t>
            </w:r>
            <w:r>
              <w:rPr>
                <w:rFonts w:ascii="Times New Roman" w:hAnsi="Times New Roman"/>
                <w:color w:val="2C2929"/>
                <w:sz w:val="24"/>
              </w:rPr>
              <w:t>я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в психиатрическом стационаре специализированного типа с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интенсивным наблюдением.</w:t>
            </w:r>
          </w:p>
          <w:p w14:paraId="14000000">
            <w:pPr>
              <w:spacing w:after="0" w:line="240" w:lineRule="auto"/>
              <w:ind w:right="47"/>
              <w:jc w:val="both"/>
              <w:rPr>
                <w:rFonts w:ascii="Times New Roman" w:hAnsi="Times New Roman"/>
                <w:color w:val="000000"/>
                <w:sz w:val="18"/>
              </w:rPr>
            </w:pPr>
          </w:p>
          <w:p w14:paraId="15000000">
            <w:pPr>
              <w:spacing w:after="0" w:line="240" w:lineRule="auto"/>
              <w:ind w:right="47"/>
              <w:jc w:val="both"/>
              <w:rPr>
                <w:rFonts w:ascii="Times New Roman" w:hAnsi="Times New Roman"/>
                <w:color w:val="000000"/>
                <w:sz w:val="18"/>
              </w:rPr>
            </w:pPr>
          </w:p>
          <w:p w14:paraId="16000000">
            <w:pPr>
              <w:spacing w:after="0" w:line="240" w:lineRule="auto"/>
              <w:ind w:right="47"/>
              <w:jc w:val="both"/>
              <w:rPr>
                <w:rFonts w:ascii="Times New Roman" w:hAnsi="Times New Roman"/>
                <w:color w:val="000000"/>
                <w:sz w:val="18"/>
              </w:rPr>
            </w:pPr>
          </w:p>
          <w:p w14:paraId="17000000">
            <w:pPr>
              <w:spacing w:after="0" w:line="240" w:lineRule="auto"/>
              <w:ind w:right="47"/>
              <w:jc w:val="both"/>
              <w:rPr>
                <w:rFonts w:ascii="Times New Roman" w:hAnsi="Times New Roman"/>
                <w:color w:val="000000"/>
                <w:sz w:val="18"/>
              </w:rPr>
            </w:pPr>
          </w:p>
          <w:p w14:paraId="18000000">
            <w:pPr>
              <w:spacing w:after="0" w:line="240" w:lineRule="auto"/>
              <w:ind w:right="47"/>
              <w:jc w:val="center"/>
              <w:rPr>
                <w:rFonts w:ascii="Times New Roman" w:hAnsi="Times New Roman"/>
                <w:b w:val="1"/>
                <w:color w:val="FF0000"/>
                <w:sz w:val="36"/>
              </w:rPr>
            </w:pPr>
            <w:r>
              <w:rPr>
                <w:rFonts w:ascii="Times New Roman" w:hAnsi="Times New Roman"/>
                <w:b w:val="1"/>
                <w:color w:val="FF0000"/>
                <w:sz w:val="36"/>
                <w:highlight w:val="lightGray"/>
              </w:rPr>
              <w:t>Не позволяйте убедить себя в безопасности наркотиков! Это не соответствует действительности!</w:t>
            </w:r>
          </w:p>
          <w:p w14:paraId="19000000">
            <w:pPr>
              <w:spacing w:after="0" w:line="240" w:lineRule="auto"/>
              <w:ind w:right="47"/>
              <w:jc w:val="both"/>
              <w:rPr>
                <w:rFonts w:ascii="Times New Roman" w:hAnsi="Times New Roman"/>
                <w:b w:val="1"/>
                <w:color w:val="000000"/>
                <w:sz w:val="18"/>
              </w:rPr>
            </w:pPr>
          </w:p>
          <w:p w14:paraId="1A000000">
            <w:pPr>
              <w:spacing w:after="0" w:line="240" w:lineRule="auto"/>
              <w:ind w:right="47"/>
              <w:jc w:val="both"/>
              <w:rPr>
                <w:rFonts w:ascii="Times New Roman" w:hAnsi="Times New Roman"/>
                <w:color w:val="000000"/>
                <w:sz w:val="18"/>
              </w:rPr>
            </w:pPr>
          </w:p>
          <w:p w14:paraId="1B000000">
            <w:pPr>
              <w:spacing w:after="0" w:line="240" w:lineRule="auto"/>
              <w:ind/>
              <w:rPr>
                <w:rFonts w:ascii="MullerExtraBoldDEMO" w:hAnsi="MullerExtraBoldDEMO"/>
                <w:b w:val="1"/>
                <w:color w:val="FFFFFF"/>
                <w:sz w:val="24"/>
              </w:rPr>
            </w:pPr>
            <w:r>
              <w:rPr>
                <w:rFonts w:ascii="MullerExtraBoldDEMO" w:hAnsi="MullerExtraBoldDEMO"/>
                <w:b w:val="1"/>
                <w:color w:val="FFFFFF"/>
                <w:sz w:val="24"/>
              </w:rPr>
              <w:t xml:space="preserve">Не позволяйте </w:t>
            </w:r>
          </w:p>
          <w:p w14:paraId="1C000000">
            <w:pPr>
              <w:spacing w:after="0" w:line="240" w:lineRule="auto"/>
              <w:ind/>
              <w:rPr>
                <w:rFonts w:ascii="MullerExtraBoldDEMO" w:hAnsi="MullerExtraBoldDEMO"/>
                <w:b w:val="1"/>
                <w:color w:val="FFFFFF"/>
                <w:sz w:val="24"/>
              </w:rPr>
            </w:pPr>
            <w:r>
              <w:rPr>
                <w:rFonts w:ascii="MullerExtraBoldDEMO" w:hAnsi="MullerExtraBoldDEMO"/>
                <w:b w:val="1"/>
                <w:color w:val="FFFFFF"/>
                <w:sz w:val="24"/>
              </w:rPr>
              <w:t>соответствует действительности!!</w:t>
            </w:r>
            <w:r>
              <w:rPr>
                <w:rFonts w:ascii="MullerExtraBoldDEMO" w:hAnsi="MullerExtraBoldDEMO"/>
                <w:b w:val="1"/>
                <w:color w:val="FFFFFF"/>
                <w:sz w:val="24"/>
              </w:rPr>
              <w:t>!я</w:t>
            </w:r>
            <w:r>
              <w:rPr>
                <w:rFonts w:ascii="MullerExtraBoldDEMO" w:hAnsi="MullerExtraBoldDEMO"/>
                <w:b w:val="1"/>
                <w:color w:val="FFFFFF"/>
                <w:sz w:val="24"/>
              </w:rPr>
              <w:t xml:space="preserve"> в</w:t>
            </w:r>
          </w:p>
          <w:p w14:paraId="1D000000">
            <w:pPr>
              <w:spacing w:after="0" w:line="240" w:lineRule="auto"/>
              <w:ind/>
              <w:rPr>
                <w:rFonts w:ascii="MullerExtraBoldDEMO" w:hAnsi="MullerExtraBoldDEMO"/>
                <w:b w:val="1"/>
                <w:color w:val="FFFFFF"/>
                <w:sz w:val="24"/>
              </w:rPr>
            </w:pPr>
            <w:r>
              <w:rPr>
                <w:rFonts w:ascii="MullerExtraBoldDEMO" w:hAnsi="MullerExtraBoldDEMO"/>
                <w:b w:val="1"/>
                <w:color w:val="FFFFFF"/>
                <w:sz w:val="24"/>
              </w:rPr>
              <w:t>безопасности наркотиков! Это не</w:t>
            </w:r>
          </w:p>
          <w:p w14:paraId="1E000000">
            <w:pPr>
              <w:spacing w:after="0" w:line="240" w:lineRule="auto"/>
              <w:ind/>
              <w:rPr>
                <w:rFonts w:ascii="MullerExtraBoldDEMO" w:hAnsi="MullerExtraBoldDEMO"/>
                <w:b w:val="1"/>
                <w:color w:val="FFFFFF"/>
                <w:sz w:val="24"/>
              </w:rPr>
            </w:pPr>
            <w:r>
              <w:rPr>
                <w:rFonts w:ascii="MullerExtraBoldDEMO" w:hAnsi="MullerExtraBoldDEMO"/>
                <w:b w:val="1"/>
                <w:color w:val="FFFFFF"/>
                <w:sz w:val="24"/>
              </w:rPr>
              <w:t>соответствует действительности!!</w:t>
            </w:r>
            <w:r>
              <w:rPr>
                <w:rFonts w:ascii="MullerExtraBoldDEMO" w:hAnsi="MullerExtraBoldDEMO"/>
                <w:b w:val="1"/>
                <w:color w:val="FFFFFF"/>
                <w:sz w:val="24"/>
              </w:rPr>
              <w:t>!Н</w:t>
            </w:r>
            <w:r>
              <w:rPr>
                <w:rFonts w:ascii="MullerExtraBoldDEMO" w:hAnsi="MullerExtraBoldDEMO"/>
                <w:b w:val="1"/>
                <w:color w:val="FFFFFF"/>
                <w:sz w:val="24"/>
              </w:rPr>
              <w:t>е позволяйте убедить себя в</w:t>
            </w:r>
          </w:p>
          <w:p w14:paraId="1F000000">
            <w:pPr>
              <w:spacing w:after="0" w:line="240" w:lineRule="auto"/>
              <w:ind/>
              <w:rPr>
                <w:rFonts w:ascii="MullerExtraBoldDEMO" w:hAnsi="MullerExtraBoldDEMO"/>
                <w:b w:val="1"/>
                <w:color w:val="FFFFFF"/>
                <w:sz w:val="24"/>
              </w:rPr>
            </w:pPr>
            <w:r>
              <w:rPr>
                <w:rFonts w:ascii="MullerExtraBoldDEMO" w:hAnsi="MullerExtraBoldDEMO"/>
                <w:b w:val="1"/>
                <w:color w:val="FFFFFF"/>
                <w:sz w:val="24"/>
              </w:rPr>
              <w:t>безопасности наркотиков! Это не</w:t>
            </w:r>
          </w:p>
          <w:p w14:paraId="20000000">
            <w:pPr>
              <w:spacing w:after="0" w:line="240" w:lineRule="auto"/>
              <w:ind w:right="47"/>
              <w:jc w:val="both"/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MullerExtraBoldDEMO" w:hAnsi="MullerExtraBoldDEMO"/>
                <w:b w:val="1"/>
                <w:color w:val="FFFFFF"/>
                <w:sz w:val="24"/>
              </w:rPr>
              <w:t>соответствует действительности!!!</w:t>
            </w:r>
          </w:p>
        </w:tc>
      </w:tr>
      <w:tr>
        <w:trPr>
          <w:trHeight w:hRule="atLeast" w:val="2418"/>
        </w:trPr>
        <w:tc>
          <w:tcPr>
            <w:tcW w:type="dxa" w:w="8060"/>
          </w:tcPr>
          <w:p w14:paraId="21000000">
            <w:pPr>
              <w:pStyle w:val="Style_1"/>
              <w:ind/>
              <w:jc w:val="center"/>
              <w:rPr>
                <w:rStyle w:val="Style_3_ch"/>
                <w:sz w:val="18"/>
              </w:rPr>
            </w:pPr>
          </w:p>
        </w:tc>
      </w:tr>
      <w:tr>
        <w:trPr>
          <w:trHeight w:hRule="atLeast" w:val="2418"/>
        </w:trPr>
        <w:tc>
          <w:tcPr>
            <w:tcW w:type="dxa" w:w="8060"/>
          </w:tcPr>
          <w:p w14:paraId="22000000">
            <w:pPr>
              <w:pStyle w:val="Style_1"/>
              <w:ind/>
              <w:jc w:val="center"/>
              <w:rPr>
                <w:rStyle w:val="Style_3_ch"/>
                <w:sz w:val="18"/>
              </w:rPr>
            </w:pPr>
          </w:p>
        </w:tc>
      </w:tr>
      <w:tr>
        <w:trPr>
          <w:trHeight w:hRule="atLeast" w:val="2418"/>
        </w:trPr>
        <w:tc>
          <w:tcPr>
            <w:tcW w:type="dxa" w:w="8060"/>
          </w:tcPr>
          <w:p w14:paraId="23000000">
            <w:pPr>
              <w:pStyle w:val="Style_1"/>
              <w:ind/>
              <w:jc w:val="center"/>
              <w:rPr>
                <w:rStyle w:val="Style_3_ch"/>
                <w:sz w:val="18"/>
              </w:rPr>
            </w:pPr>
            <w:r>
              <w:rPr>
                <w:rStyle w:val="Style_3_ch"/>
                <w:sz w:val="18"/>
              </w:rPr>
              <w:t>  </w:t>
            </w:r>
          </w:p>
        </w:tc>
      </w:tr>
    </w:tbl>
    <w:p w14:paraId="24000000">
      <w:pPr>
        <w:spacing w:after="0" w:line="240" w:lineRule="auto"/>
        <w:ind/>
        <w:jc w:val="center"/>
        <w:rPr>
          <w:rFonts w:ascii="PragmaticaBlack" w:hAnsi="PragmaticaBlack"/>
          <w:color w:val="FF0000"/>
          <w:sz w:val="24"/>
          <w:highlight w:val="lightGray"/>
        </w:rPr>
      </w:pPr>
      <w:r>
        <w:rPr>
          <w:rFonts w:ascii="MullerExtraBoldDEMO" w:hAnsi="MullerExtraBoldDEMO"/>
          <w:b w:val="1"/>
          <w:color w:val="FF0000"/>
          <w:sz w:val="24"/>
          <w:highlight w:val="lightGray"/>
        </w:rPr>
        <w:t>ПОМНИТЕ</w:t>
      </w:r>
      <w:r>
        <w:rPr>
          <w:rFonts w:ascii="PragmaticaBlack" w:hAnsi="PragmaticaBlack"/>
          <w:color w:val="FF0000"/>
          <w:sz w:val="24"/>
          <w:highlight w:val="lightGray"/>
        </w:rPr>
        <w:t>:</w:t>
      </w:r>
    </w:p>
    <w:p w14:paraId="25000000">
      <w:pPr>
        <w:spacing w:after="0" w:line="240" w:lineRule="auto"/>
        <w:ind/>
        <w:jc w:val="center"/>
        <w:rPr>
          <w:rFonts w:ascii="MullerExtraBoldDEMO" w:hAnsi="MullerExtraBoldDEMO"/>
          <w:b w:val="1"/>
          <w:color w:val="FF0000"/>
          <w:sz w:val="24"/>
          <w:highlight w:val="lightGray"/>
        </w:rPr>
      </w:pPr>
      <w:r>
        <w:rPr>
          <w:rFonts w:ascii="MullerExtraBoldDEMO" w:hAnsi="MullerExtraBoldDEMO"/>
          <w:b w:val="1"/>
          <w:color w:val="FF0000"/>
          <w:sz w:val="24"/>
          <w:highlight w:val="lightGray"/>
        </w:rPr>
        <w:t>НЕТ ТАКОГО КОЛИЧЕСТВА НАРКОТИКОВ</w:t>
      </w:r>
    </w:p>
    <w:p w14:paraId="26000000">
      <w:pPr>
        <w:spacing w:after="0" w:line="240" w:lineRule="auto"/>
        <w:ind/>
        <w:jc w:val="center"/>
        <w:rPr>
          <w:rFonts w:ascii="MullerExtraBoldDEMO" w:hAnsi="MullerExtraBoldDEMO"/>
          <w:b w:val="1"/>
          <w:color w:val="FF0000"/>
          <w:sz w:val="24"/>
          <w:highlight w:val="lightGray"/>
        </w:rPr>
      </w:pPr>
      <w:r>
        <w:rPr>
          <w:rFonts w:ascii="MullerExtraBoldDEMO" w:hAnsi="MullerExtraBoldDEMO"/>
          <w:b w:val="1"/>
          <w:color w:val="FF0000"/>
          <w:sz w:val="24"/>
          <w:highlight w:val="lightGray"/>
        </w:rPr>
        <w:t xml:space="preserve">ХРАНЕНИЕ И ПОТРЕБЛЕНИЕ </w:t>
      </w:r>
      <w:r>
        <w:rPr>
          <w:rFonts w:ascii="MullerExtraBoldDEMO" w:hAnsi="MullerExtraBoldDEMO"/>
          <w:b w:val="1"/>
          <w:color w:val="FF0000"/>
          <w:sz w:val="24"/>
          <w:highlight w:val="lightGray"/>
        </w:rPr>
        <w:t>КОТОРЫХ</w:t>
      </w:r>
    </w:p>
    <w:p w14:paraId="27000000">
      <w:pPr>
        <w:pStyle w:val="Style_1"/>
        <w:spacing w:after="0" w:before="0"/>
        <w:ind/>
        <w:jc w:val="center"/>
        <w:rPr>
          <w:rFonts w:ascii="Georgia" w:hAnsi="Georgia"/>
          <w:color w:val="FF0000"/>
          <w:sz w:val="20"/>
        </w:rPr>
      </w:pPr>
      <w:r>
        <w:rPr>
          <w:rFonts w:ascii="MullerExtraBoldDEMO" w:hAnsi="MullerExtraBoldDEMO"/>
          <w:b w:val="1"/>
          <w:color w:val="FF0000"/>
          <w:highlight w:val="lightGray"/>
        </w:rPr>
        <w:t>НЕ ВЛЕКЛО БЫ ОТВЕТСТВЕННОСТИ!!!</w:t>
      </w:r>
    </w:p>
    <w:p w14:paraId="28000000">
      <w:pPr>
        <w:spacing w:after="0" w:line="240" w:lineRule="auto"/>
        <w:ind/>
        <w:rPr>
          <w:rFonts w:ascii="Times New Roman" w:hAnsi="Times New Roman"/>
          <w:color w:val="000000"/>
          <w:sz w:val="24"/>
        </w:rPr>
      </w:pPr>
    </w:p>
    <w:tbl>
      <w:tblPr>
        <w:tblStyle w:val="Style_2"/>
        <w:tblW w:type="auto" w:w="0"/>
        <w:tblLayout w:type="fixed"/>
      </w:tblPr>
      <w:tblGrid>
        <w:gridCol w:w="7705"/>
      </w:tblGrid>
      <w:tr>
        <w:trPr>
          <w:trHeight w:hRule="atLeast" w:val="2652"/>
        </w:trPr>
        <w:tc>
          <w:tcPr>
            <w:tcW w:type="dxa" w:w="7705"/>
          </w:tcPr>
          <w:p w14:paraId="29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2C2929"/>
                <w:sz w:val="24"/>
              </w:rPr>
            </w:pPr>
            <w:r>
              <w:rPr>
                <w:rFonts w:ascii="Times New Roman" w:hAnsi="Times New Roman"/>
                <w:b w:val="1"/>
                <w:color w:val="2C2929"/>
                <w:sz w:val="24"/>
              </w:rPr>
              <w:t>Уголовным кодексом Российской Федерации</w:t>
            </w:r>
          </w:p>
          <w:p w14:paraId="2A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2C2929"/>
                <w:sz w:val="24"/>
              </w:rPr>
            </w:pPr>
            <w:r>
              <w:rPr>
                <w:rFonts w:ascii="Times New Roman" w:hAnsi="Times New Roman"/>
                <w:b w:val="1"/>
                <w:color w:val="2C2929"/>
                <w:sz w:val="24"/>
              </w:rPr>
              <w:t>предусмотрено:</w:t>
            </w:r>
          </w:p>
          <w:p w14:paraId="2B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2C2929"/>
                <w:sz w:val="24"/>
              </w:rPr>
            </w:pPr>
            <w:r>
              <w:rPr>
                <w:rFonts w:ascii="Times New Roman" w:hAnsi="Times New Roman"/>
                <w:color w:val="2C2929"/>
                <w:sz w:val="24"/>
              </w:rPr>
              <w:t>Любое нахождение при себе наркотика,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даже без цели продажи (его нахождение,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хранение, перевозка, изготовление, и т.п. по ст.228 УК РФ - влечет наказание в виде штрафа до500 тысяч рублей, либо обязательными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работами, </w:t>
            </w:r>
            <w:r>
              <w:rPr>
                <w:rFonts w:ascii="Times New Roman" w:hAnsi="Times New Roman"/>
                <w:color w:val="2C2929"/>
                <w:sz w:val="24"/>
              </w:rPr>
              <w:t>которыми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как правило для подростков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является уборка улиц, на срок до 480 часов, либо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исправительными работами на срок до 2 лет,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либо ограничением свободы, предполагающим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ношение на </w:t>
            </w:r>
            <w:r>
              <w:rPr>
                <w:rFonts w:ascii="Times New Roman" w:hAnsi="Times New Roman"/>
                <w:color w:val="2C2929"/>
                <w:sz w:val="24"/>
              </w:rPr>
              <w:t>теле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электронного браслета, на срок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до 3 лет, либо лишением свободы на срок до 15лет.</w:t>
            </w:r>
          </w:p>
          <w:p w14:paraId="2C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2C2929"/>
                <w:sz w:val="24"/>
              </w:rPr>
            </w:pPr>
            <w:r>
              <w:rPr>
                <w:rFonts w:ascii="Times New Roman" w:hAnsi="Times New Roman"/>
                <w:color w:val="2C2929"/>
                <w:sz w:val="24"/>
              </w:rPr>
              <w:t>Статья 228.1 УК РФ за изготовление или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сбыт наркотических средств, психотропных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веществ или их аналогов - предусматривает еще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более жесткое наказание в виде лишения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свободы на срок до 20 лет со штрафом до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миллиона рублей.</w:t>
            </w:r>
          </w:p>
          <w:p w14:paraId="2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2C2929"/>
                <w:sz w:val="24"/>
              </w:rPr>
            </w:pPr>
            <w:r>
              <w:rPr>
                <w:rFonts w:ascii="Times New Roman" w:hAnsi="Times New Roman"/>
                <w:color w:val="2C2929"/>
                <w:sz w:val="24"/>
              </w:rPr>
              <w:t>Статья 228.3 УК РФ - приобретение,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хранение или перевозка веществ из </w:t>
            </w:r>
            <w:r>
              <w:rPr>
                <w:rFonts w:ascii="Times New Roman" w:hAnsi="Times New Roman"/>
                <w:color w:val="2C2929"/>
                <w:sz w:val="24"/>
              </w:rPr>
              <w:t>к</w:t>
            </w:r>
            <w:r>
              <w:rPr>
                <w:rFonts w:ascii="Times New Roman" w:hAnsi="Times New Roman"/>
                <w:color w:val="2C2929"/>
                <w:sz w:val="24"/>
              </w:rPr>
              <w:t>оторых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могут быть приготовлены наркотические средства или психотропные вещества (</w:t>
            </w:r>
            <w:r>
              <w:rPr>
                <w:rFonts w:ascii="Times New Roman" w:hAnsi="Times New Roman"/>
                <w:color w:val="2C2929"/>
                <w:sz w:val="24"/>
              </w:rPr>
              <w:t>прекурсоры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) </w:t>
            </w:r>
            <w:r>
              <w:rPr>
                <w:rFonts w:ascii="Times New Roman" w:hAnsi="Times New Roman"/>
                <w:color w:val="2C2929"/>
                <w:sz w:val="24"/>
              </w:rPr>
              <w:t>-н</w:t>
            </w:r>
            <w:r>
              <w:rPr>
                <w:rFonts w:ascii="Times New Roman" w:hAnsi="Times New Roman"/>
                <w:color w:val="2C2929"/>
                <w:sz w:val="24"/>
              </w:rPr>
              <w:t>аказываются штрафом в размере до 500 тысяч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рублей, либо обязательными работами на срок до240 часов, либо </w:t>
            </w:r>
            <w:r>
              <w:rPr>
                <w:rFonts w:ascii="Times New Roman" w:hAnsi="Times New Roman"/>
                <w:color w:val="2C2929"/>
                <w:sz w:val="24"/>
              </w:rPr>
              <w:t>о</w:t>
            </w:r>
            <w:r>
              <w:rPr>
                <w:rFonts w:ascii="Times New Roman" w:hAnsi="Times New Roman"/>
                <w:color w:val="2C2929"/>
                <w:sz w:val="24"/>
              </w:rPr>
              <w:t>граничением свободы или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лишением свободы до 2-х лет.</w:t>
            </w:r>
          </w:p>
          <w:p w14:paraId="2E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2C2929"/>
                <w:sz w:val="24"/>
              </w:rPr>
            </w:pPr>
            <w:r>
              <w:rPr>
                <w:rFonts w:ascii="Times New Roman" w:hAnsi="Times New Roman"/>
                <w:color w:val="2C2929"/>
                <w:sz w:val="24"/>
              </w:rPr>
              <w:t>Статья 231 УК РФ - незаконное культивирование растений, содержащих наркотические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средства или психотропные вещества, либо их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прекурсоры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- наказывается штрафом в размере до300 тысяч рублей, либо обязательными работами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на срок до 480 часов, либо ограничением свободы</w:t>
            </w:r>
            <w:r>
              <w:rPr>
                <w:rFonts w:ascii="Times New Roman" w:hAnsi="Times New Roman"/>
                <w:color w:val="2C292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C2929"/>
                <w:sz w:val="24"/>
              </w:rPr>
              <w:t>или лишением свободы на срок до 2 лет.</w:t>
            </w:r>
          </w:p>
          <w:p w14:paraId="2F000000">
            <w:pPr>
              <w:pStyle w:val="Style_1"/>
              <w:spacing w:after="0" w:before="0"/>
              <w:ind/>
              <w:rPr>
                <w:b w:val="1"/>
                <w:color w:val="000000"/>
                <w:sz w:val="32"/>
              </w:rPr>
            </w:pPr>
            <w:r>
              <w:rPr>
                <w:b w:val="1"/>
                <w:color w:val="000000"/>
                <w:sz w:val="32"/>
              </w:rPr>
              <w:drawing>
                <wp:inline>
                  <wp:extent cx="1219200" cy="800100"/>
                  <wp:effectExtent b="0" l="0" r="0" t="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219200" cy="8001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30000000">
            <w:pPr>
              <w:pStyle w:val="Style_1"/>
              <w:spacing w:after="0" w:before="0"/>
              <w:ind/>
              <w:rPr>
                <w:sz w:val="22"/>
              </w:rPr>
            </w:pPr>
          </w:p>
          <w:p w14:paraId="31000000">
            <w:pPr>
              <w:pStyle w:val="Style_1"/>
              <w:spacing w:after="0" w:before="0"/>
              <w:ind/>
              <w:rPr>
                <w:b w:val="1"/>
                <w:i w:val="1"/>
                <w:sz w:val="40"/>
              </w:rPr>
            </w:pPr>
          </w:p>
          <w:p w14:paraId="32000000">
            <w:pPr>
              <w:spacing w:after="0" w:line="240" w:lineRule="auto"/>
              <w:ind/>
              <w:jc w:val="center"/>
              <w:rPr>
                <w:rFonts w:ascii="TimesNewRomanPSMT" w:hAnsi="TimesNewRomanPSMT"/>
                <w:b w:val="1"/>
                <w:color w:val="FF0000"/>
                <w:sz w:val="28"/>
                <w:highlight w:val="lightGray"/>
              </w:rPr>
            </w:pPr>
            <w:r>
              <w:rPr>
                <w:rFonts w:ascii="TimesNewRomanPSMT" w:hAnsi="TimesNewRomanPSMT"/>
                <w:b w:val="1"/>
                <w:color w:val="FF0000"/>
                <w:sz w:val="28"/>
                <w:highlight w:val="lightGray"/>
              </w:rPr>
              <w:t xml:space="preserve">В целях противодействия </w:t>
            </w:r>
            <w:r>
              <w:rPr>
                <w:rFonts w:ascii="TimesNewRomanPSMT" w:hAnsi="TimesNewRomanPSMT"/>
                <w:b w:val="1"/>
                <w:color w:val="FF0000"/>
                <w:sz w:val="28"/>
                <w:highlight w:val="lightGray"/>
              </w:rPr>
              <w:t>незаконному</w:t>
            </w:r>
          </w:p>
          <w:p w14:paraId="33000000">
            <w:pPr>
              <w:spacing w:after="0" w:line="240" w:lineRule="auto"/>
              <w:ind/>
              <w:jc w:val="center"/>
              <w:rPr>
                <w:rFonts w:ascii="TimesNewRomanPSMT" w:hAnsi="TimesNewRomanPSMT"/>
                <w:b w:val="1"/>
                <w:color w:val="FF0000"/>
                <w:sz w:val="28"/>
                <w:highlight w:val="lightGray"/>
              </w:rPr>
            </w:pPr>
            <w:r>
              <w:rPr>
                <w:rFonts w:ascii="TimesNewRomanPSMT" w:hAnsi="TimesNewRomanPSMT"/>
                <w:b w:val="1"/>
                <w:color w:val="FF0000"/>
                <w:sz w:val="28"/>
                <w:highlight w:val="lightGray"/>
              </w:rPr>
              <w:t>обороту наркотиков Федеральным законом</w:t>
            </w:r>
          </w:p>
          <w:p w14:paraId="34000000">
            <w:pPr>
              <w:spacing w:after="0" w:line="240" w:lineRule="auto"/>
              <w:ind/>
              <w:jc w:val="center"/>
              <w:rPr>
                <w:rFonts w:ascii="TimesNewRomanPSMT" w:hAnsi="TimesNewRomanPSMT"/>
                <w:b w:val="1"/>
                <w:color w:val="FF0000"/>
                <w:sz w:val="28"/>
                <w:highlight w:val="lightGray"/>
              </w:rPr>
            </w:pPr>
            <w:r>
              <w:rPr>
                <w:rFonts w:ascii="TimesNewRomanPSMT" w:hAnsi="TimesNewRomanPSMT"/>
                <w:b w:val="1"/>
                <w:color w:val="FF0000"/>
                <w:sz w:val="28"/>
                <w:highlight w:val="lightGray"/>
              </w:rPr>
              <w:t xml:space="preserve">Российской Федерации «О </w:t>
            </w:r>
            <w:r>
              <w:rPr>
                <w:rFonts w:ascii="TimesNewRomanPSMT" w:hAnsi="TimesNewRomanPSMT"/>
                <w:b w:val="1"/>
                <w:color w:val="FF0000"/>
                <w:sz w:val="28"/>
                <w:highlight w:val="lightGray"/>
              </w:rPr>
              <w:t>наркотических</w:t>
            </w:r>
          </w:p>
          <w:p w14:paraId="35000000">
            <w:pPr>
              <w:spacing w:after="0" w:line="240" w:lineRule="auto"/>
              <w:ind/>
              <w:jc w:val="center"/>
              <w:rPr>
                <w:rFonts w:ascii="TimesNewRomanPSMT" w:hAnsi="TimesNewRomanPSMT"/>
                <w:b w:val="1"/>
                <w:color w:val="FF0000"/>
                <w:sz w:val="28"/>
                <w:highlight w:val="lightGray"/>
              </w:rPr>
            </w:pPr>
            <w:r>
              <w:rPr>
                <w:rFonts w:ascii="TimesNewRomanPSMT" w:hAnsi="TimesNewRomanPSMT"/>
                <w:b w:val="1"/>
                <w:color w:val="FF0000"/>
                <w:sz w:val="28"/>
                <w:highlight w:val="lightGray"/>
              </w:rPr>
              <w:t>средствах</w:t>
            </w:r>
            <w:r>
              <w:rPr>
                <w:rFonts w:ascii="TimesNewRomanPSMT" w:hAnsi="TimesNewRomanPSMT"/>
                <w:b w:val="1"/>
                <w:color w:val="FF0000"/>
                <w:sz w:val="28"/>
                <w:highlight w:val="lightGray"/>
              </w:rPr>
              <w:t xml:space="preserve"> и психотропных веществах» на всей</w:t>
            </w:r>
          </w:p>
          <w:p w14:paraId="36000000">
            <w:pPr>
              <w:spacing w:after="0" w:line="240" w:lineRule="auto"/>
              <w:ind/>
              <w:jc w:val="center"/>
              <w:rPr>
                <w:rFonts w:ascii="TimesNewRomanPSMT" w:hAnsi="TimesNewRomanPSMT"/>
                <w:b w:val="1"/>
                <w:color w:val="FF0000"/>
                <w:sz w:val="28"/>
                <w:highlight w:val="lightGray"/>
              </w:rPr>
            </w:pPr>
            <w:r>
              <w:rPr>
                <w:rFonts w:ascii="TimesNewRomanPSMT" w:hAnsi="TimesNewRomanPSMT"/>
                <w:b w:val="1"/>
                <w:color w:val="FF0000"/>
                <w:sz w:val="28"/>
                <w:highlight w:val="lightGray"/>
              </w:rPr>
              <w:t>территории страны запрещено потребление</w:t>
            </w:r>
          </w:p>
          <w:p w14:paraId="37000000">
            <w:pPr>
              <w:spacing w:after="0" w:line="240" w:lineRule="auto"/>
              <w:ind/>
              <w:jc w:val="center"/>
              <w:rPr>
                <w:rFonts w:ascii="TimesNewRomanPSMT" w:hAnsi="TimesNewRomanPSMT"/>
                <w:b w:val="1"/>
                <w:color w:val="FF0000"/>
                <w:sz w:val="28"/>
                <w:highlight w:val="lightGray"/>
              </w:rPr>
            </w:pPr>
            <w:r>
              <w:rPr>
                <w:rFonts w:ascii="TimesNewRomanPSMT" w:hAnsi="TimesNewRomanPSMT"/>
                <w:b w:val="1"/>
                <w:color w:val="FF0000"/>
                <w:sz w:val="28"/>
                <w:highlight w:val="lightGray"/>
              </w:rPr>
              <w:t>наркотических средств или психотропных</w:t>
            </w:r>
          </w:p>
          <w:p w14:paraId="38000000">
            <w:pPr>
              <w:ind/>
              <w:jc w:val="center"/>
              <w:rPr>
                <w:rFonts w:ascii="Times New Roman" w:hAnsi="Times New Roman"/>
                <w:b w:val="1"/>
                <w:color w:val="FF0000"/>
                <w:sz w:val="28"/>
                <w:highlight w:val="lightGray"/>
              </w:rPr>
            </w:pPr>
            <w:r>
              <w:rPr>
                <w:rFonts w:ascii="TimesNewRomanPSMT" w:hAnsi="TimesNewRomanPSMT"/>
                <w:b w:val="1"/>
                <w:color w:val="FF0000"/>
                <w:sz w:val="28"/>
                <w:highlight w:val="lightGray"/>
              </w:rPr>
              <w:t>веществ без назначения врача.</w:t>
            </w:r>
          </w:p>
          <w:p w14:paraId="39000000">
            <w:pPr>
              <w:pStyle w:val="Style_1"/>
              <w:spacing w:after="0" w:before="0"/>
              <w:ind/>
              <w:rPr>
                <w:b w:val="1"/>
                <w:i w:val="1"/>
                <w:sz w:val="40"/>
              </w:rPr>
            </w:pPr>
          </w:p>
          <w:p w14:paraId="3A000000">
            <w:pPr>
              <w:pStyle w:val="Style_1"/>
              <w:spacing w:after="0" w:before="0"/>
              <w:ind/>
              <w:rPr>
                <w:b w:val="1"/>
                <w:i w:val="1"/>
                <w:sz w:val="40"/>
              </w:rPr>
            </w:pPr>
            <w:r>
              <w:drawing>
                <wp:anchor allowOverlap="true" behindDoc="true" distB="0" distL="114300" distR="114300" distT="0" layoutInCell="true" locked="false" relativeHeight="251658240" simplePos="false">
                  <wp:simplePos x="0" y="0"/>
                  <wp:positionH relativeFrom="column">
                    <wp:posOffset>223520</wp:posOffset>
                  </wp:positionH>
                  <wp:positionV relativeFrom="paragraph">
                    <wp:align>outside</wp:align>
                  </wp:positionV>
                  <wp:extent cx="4190365" cy="2115185"/>
                  <wp:effectExtent b="0" l="0" r="0" t="0"/>
                  <wp:wrapThrough distL="114300" distR="114300" wrapText="bothSides">
                    <wp:wrapPolygon>
                      <wp:start x="0" y="0"/>
                      <wp:lineTo x="0" y="21399"/>
                      <wp:lineTo x="21505" y="21399"/>
                      <wp:lineTo x="21505" y="0"/>
                      <wp:lineTo x="0" y="0"/>
                    </wp:wrapPolygon>
                  </wp:wrapThrough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190365" cy="211518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 w14:paraId="3B000000">
            <w:pPr>
              <w:pStyle w:val="Style_1"/>
              <w:spacing w:after="0" w:before="0"/>
              <w:ind/>
              <w:rPr>
                <w:b w:val="1"/>
                <w:i w:val="1"/>
                <w:sz w:val="40"/>
              </w:rPr>
            </w:pPr>
          </w:p>
          <w:p w14:paraId="3C000000">
            <w:pPr>
              <w:pStyle w:val="Style_1"/>
              <w:spacing w:after="0" w:before="0"/>
              <w:ind/>
              <w:rPr>
                <w:color w:val="000000"/>
              </w:rPr>
            </w:pPr>
          </w:p>
        </w:tc>
      </w:tr>
    </w:tbl>
    <w:p w14:paraId="3D000000">
      <w:pPr>
        <w:spacing w:after="0" w:line="240" w:lineRule="auto"/>
        <w:ind/>
        <w:jc w:val="center"/>
        <w:rPr>
          <w:rFonts w:ascii="Times New Roman" w:hAnsi="Times New Roman"/>
          <w:i w:val="1"/>
          <w:sz w:val="36"/>
        </w:rPr>
      </w:pPr>
    </w:p>
    <w:p w14:paraId="3E000000">
      <w:pPr>
        <w:spacing w:after="0" w:line="240" w:lineRule="auto"/>
        <w:ind/>
        <w:jc w:val="center"/>
        <w:rPr>
          <w:rFonts w:ascii="Times New Roman" w:hAnsi="Times New Roman"/>
          <w:i w:val="1"/>
          <w:sz w:val="36"/>
        </w:rPr>
      </w:pPr>
      <w:r>
        <w:rPr>
          <w:rFonts w:ascii="Times New Roman" w:hAnsi="Times New Roman"/>
          <w:i w:val="1"/>
          <w:sz w:val="36"/>
        </w:rPr>
        <w:t>В случае</w:t>
      </w:r>
      <w:r>
        <w:rPr>
          <w:rFonts w:ascii="Times New Roman" w:hAnsi="Times New Roman"/>
          <w:i w:val="1"/>
          <w:sz w:val="36"/>
        </w:rPr>
        <w:t>,</w:t>
      </w:r>
      <w:r>
        <w:rPr>
          <w:rFonts w:ascii="Times New Roman" w:hAnsi="Times New Roman"/>
          <w:i w:val="1"/>
          <w:sz w:val="36"/>
        </w:rPr>
        <w:t xml:space="preserve"> если </w:t>
      </w:r>
      <w:r>
        <w:rPr>
          <w:rFonts w:ascii="Times New Roman" w:hAnsi="Times New Roman"/>
          <w:i w:val="1"/>
          <w:sz w:val="36"/>
        </w:rPr>
        <w:t>в</w:t>
      </w:r>
      <w:r>
        <w:rPr>
          <w:rFonts w:ascii="Times New Roman" w:hAnsi="Times New Roman"/>
          <w:i w:val="1"/>
          <w:sz w:val="36"/>
        </w:rPr>
        <w:t xml:space="preserve">ам стало известно о фактах употребления, продажи, распространения наркотиков, </w:t>
      </w:r>
      <w:r>
        <w:rPr>
          <w:rFonts w:ascii="Times New Roman" w:hAnsi="Times New Roman"/>
          <w:i w:val="1"/>
          <w:sz w:val="36"/>
        </w:rPr>
        <w:t>в</w:t>
      </w:r>
      <w:r>
        <w:rPr>
          <w:rFonts w:ascii="Times New Roman" w:hAnsi="Times New Roman"/>
          <w:i w:val="1"/>
          <w:sz w:val="36"/>
        </w:rPr>
        <w:t xml:space="preserve">ы можете обратиться </w:t>
      </w:r>
      <w:r>
        <w:rPr>
          <w:rFonts w:ascii="Times New Roman" w:hAnsi="Times New Roman"/>
          <w:i w:val="1"/>
          <w:sz w:val="36"/>
        </w:rPr>
        <w:t xml:space="preserve">в </w:t>
      </w:r>
    </w:p>
    <w:p w14:paraId="3F000000">
      <w:pPr>
        <w:spacing w:after="0" w:line="240" w:lineRule="auto"/>
        <w:ind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i w:val="1"/>
          <w:sz w:val="36"/>
        </w:rPr>
        <w:t>п</w:t>
      </w:r>
      <w:r>
        <w:rPr>
          <w:rFonts w:ascii="Times New Roman" w:hAnsi="Times New Roman"/>
          <w:i w:val="1"/>
          <w:sz w:val="36"/>
        </w:rPr>
        <w:t>рокуратур</w:t>
      </w:r>
      <w:r>
        <w:rPr>
          <w:rFonts w:ascii="Times New Roman" w:hAnsi="Times New Roman"/>
          <w:i w:val="1"/>
          <w:sz w:val="36"/>
        </w:rPr>
        <w:t>у</w:t>
      </w:r>
      <w:r>
        <w:rPr>
          <w:rFonts w:ascii="Times New Roman" w:hAnsi="Times New Roman"/>
          <w:i w:val="1"/>
          <w:sz w:val="36"/>
        </w:rPr>
        <w:t xml:space="preserve"> района:</w:t>
      </w:r>
    </w:p>
    <w:p w14:paraId="4000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36"/>
        </w:rPr>
      </w:pPr>
    </w:p>
    <w:p w14:paraId="41000000">
      <w:pPr>
        <w:tabs>
          <w:tab w:leader="none" w:pos="900" w:val="left"/>
          <w:tab w:leader="none" w:pos="3803" w:val="left"/>
          <w:tab w:leader="none" w:pos="11340" w:val="left"/>
        </w:tabs>
        <w:spacing w:after="0" w:line="240" w:lineRule="auto"/>
        <w:ind w:right="386"/>
        <w:jc w:val="both"/>
        <w:rPr>
          <w:rFonts w:ascii="Times New Roman" w:hAnsi="Times New Roman"/>
          <w:b w:val="1"/>
          <w:i w:val="1"/>
          <w:color w:val="000000"/>
          <w:sz w:val="24"/>
        </w:rPr>
      </w:pPr>
    </w:p>
    <w:p w14:paraId="42000000">
      <w:pPr>
        <w:spacing w:after="0" w:line="240" w:lineRule="auto"/>
        <w:ind/>
        <w:jc w:val="center"/>
        <w:rPr>
          <w:rFonts w:ascii="Times New Roman" w:hAnsi="Times New Roman"/>
          <w:b w:val="1"/>
          <w:color w:val="FF0000"/>
          <w:sz w:val="36"/>
          <w:highlight w:val="lightGray"/>
        </w:rPr>
      </w:pPr>
    </w:p>
    <w:p w14:paraId="43000000">
      <w:pPr>
        <w:spacing w:after="0" w:line="240" w:lineRule="auto"/>
        <w:ind/>
        <w:jc w:val="center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  <w:highlight w:val="lightGray"/>
        </w:rPr>
        <w:t>г. Астрахань</w:t>
      </w:r>
      <w:r>
        <w:rPr>
          <w:rFonts w:ascii="Times New Roman" w:hAnsi="Times New Roman"/>
          <w:b w:val="1"/>
          <w:color w:val="FF0000"/>
          <w:sz w:val="36"/>
          <w:highlight w:val="lightGray"/>
        </w:rPr>
        <w:t>, улица</w:t>
      </w:r>
      <w:r>
        <w:rPr>
          <w:rFonts w:ascii="Times New Roman" w:hAnsi="Times New Roman"/>
          <w:b w:val="1"/>
          <w:color w:val="FF0000"/>
          <w:sz w:val="36"/>
          <w:highlight w:val="lightGray"/>
        </w:rPr>
        <w:t xml:space="preserve"> Дзержинского</w:t>
      </w:r>
      <w:r>
        <w:rPr>
          <w:rFonts w:ascii="Times New Roman" w:hAnsi="Times New Roman"/>
          <w:b w:val="1"/>
          <w:color w:val="FF0000"/>
          <w:sz w:val="36"/>
          <w:highlight w:val="lightGray"/>
        </w:rPr>
        <w:t>, д.</w:t>
      </w:r>
      <w:r>
        <w:rPr>
          <w:rFonts w:ascii="Times New Roman" w:hAnsi="Times New Roman"/>
          <w:b w:val="1"/>
          <w:color w:val="FF0000"/>
          <w:sz w:val="36"/>
          <w:highlight w:val="lightGray"/>
        </w:rPr>
        <w:t>4</w:t>
      </w:r>
      <w:r>
        <w:rPr>
          <w:rFonts w:ascii="Times New Roman" w:hAnsi="Times New Roman"/>
          <w:b w:val="1"/>
          <w:color w:val="FF0000"/>
          <w:sz w:val="36"/>
          <w:highlight w:val="lightGray"/>
        </w:rPr>
        <w:t>8.</w:t>
      </w:r>
    </w:p>
    <w:p w14:paraId="44000000">
      <w:pPr>
        <w:tabs>
          <w:tab w:leader="none" w:pos="900" w:val="left"/>
          <w:tab w:leader="none" w:pos="3803" w:val="left"/>
          <w:tab w:leader="none" w:pos="11340" w:val="left"/>
        </w:tabs>
        <w:spacing w:after="0" w:line="240" w:lineRule="auto"/>
        <w:ind w:right="386"/>
        <w:jc w:val="both"/>
        <w:rPr>
          <w:rFonts w:ascii="Times New Roman" w:hAnsi="Times New Roman"/>
          <w:b w:val="1"/>
          <w:i w:val="1"/>
          <w:color w:val="000000"/>
          <w:sz w:val="24"/>
        </w:rPr>
      </w:pPr>
    </w:p>
    <w:p w14:paraId="45000000">
      <w:pPr>
        <w:spacing w:after="0" w:line="240" w:lineRule="auto"/>
        <w:ind/>
        <w:jc w:val="center"/>
        <w:rPr>
          <w:rFonts w:ascii="TimesNewRomanPSMT" w:hAnsi="TimesNewRomanPSMT"/>
          <w:b w:val="1"/>
          <w:color w:val="FF0000"/>
          <w:sz w:val="28"/>
          <w:highlight w:val="lightGray"/>
        </w:rPr>
      </w:pPr>
    </w:p>
    <w:p w14:paraId="46000000">
      <w:pPr>
        <w:spacing w:after="0" w:line="240" w:lineRule="auto"/>
        <w:ind/>
        <w:jc w:val="center"/>
      </w:pPr>
      <w:r>
        <w:drawing>
          <wp:inline>
            <wp:extent cx="781050" cy="866775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781050" cy="8667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7000000">
      <w:pPr>
        <w:spacing w:after="0" w:line="240" w:lineRule="auto"/>
        <w:ind/>
        <w:jc w:val="center"/>
      </w:pPr>
    </w:p>
    <w:p w14:paraId="48000000">
      <w:pPr>
        <w:pStyle w:val="Style_1"/>
        <w:spacing w:after="0" w:before="0"/>
        <w:ind/>
        <w:jc w:val="center"/>
        <w:rPr>
          <w:b w:val="1"/>
          <w:i w:val="1"/>
          <w:sz w:val="40"/>
        </w:rPr>
      </w:pPr>
      <w:r>
        <w:rPr>
          <w:b w:val="1"/>
          <w:i w:val="1"/>
          <w:sz w:val="40"/>
        </w:rPr>
        <w:t xml:space="preserve">Прокуратура </w:t>
      </w:r>
      <w:r>
        <w:rPr>
          <w:b w:val="1"/>
          <w:i w:val="1"/>
          <w:sz w:val="40"/>
        </w:rPr>
        <w:t>Трусовского</w:t>
      </w:r>
      <w:r>
        <w:rPr>
          <w:b w:val="1"/>
          <w:i w:val="1"/>
          <w:sz w:val="40"/>
        </w:rPr>
        <w:t xml:space="preserve"> района г</w:t>
      </w:r>
      <w:r>
        <w:rPr>
          <w:b w:val="1"/>
          <w:i w:val="1"/>
          <w:sz w:val="40"/>
        </w:rPr>
        <w:t>.А</w:t>
      </w:r>
      <w:r>
        <w:rPr>
          <w:b w:val="1"/>
          <w:i w:val="1"/>
          <w:sz w:val="40"/>
        </w:rPr>
        <w:t>страхани</w:t>
      </w:r>
    </w:p>
    <w:p w14:paraId="49000000">
      <w:pPr>
        <w:pStyle w:val="Style_1"/>
        <w:spacing w:after="0" w:before="0"/>
        <w:ind/>
        <w:rPr>
          <w:b w:val="1"/>
          <w:i w:val="1"/>
          <w:sz w:val="40"/>
        </w:rPr>
      </w:pPr>
    </w:p>
    <w:p w14:paraId="4A000000">
      <w:pPr>
        <w:pStyle w:val="Style_4"/>
        <w:ind/>
        <w:jc w:val="center"/>
        <w:rPr>
          <w:sz w:val="32"/>
        </w:rPr>
      </w:pPr>
      <w:r>
        <w:rPr>
          <w:sz w:val="32"/>
        </w:rPr>
        <w:t>ПАМЯТКА ДЛЯ ГРАЖДАН</w:t>
      </w:r>
    </w:p>
    <w:p w14:paraId="4B000000">
      <w:pPr>
        <w:pStyle w:val="Style_4"/>
        <w:ind/>
        <w:jc w:val="center"/>
        <w:rPr>
          <w:sz w:val="32"/>
        </w:rPr>
      </w:pPr>
      <w:r>
        <w:rPr>
          <w:sz w:val="32"/>
        </w:rPr>
        <w:t>Ответственность за хранение, употребление и сбыт наркотических и психотропных средств</w:t>
      </w:r>
    </w:p>
    <w:p w14:paraId="4C000000">
      <w:pPr>
        <w:pStyle w:val="Style_4"/>
        <w:ind/>
        <w:jc w:val="center"/>
        <w:rPr>
          <w:sz w:val="28"/>
        </w:rPr>
      </w:pPr>
    </w:p>
    <w:p w14:paraId="4D000000">
      <w:pPr>
        <w:pStyle w:val="Style_4"/>
        <w:ind/>
        <w:jc w:val="center"/>
        <w:rPr>
          <w:sz w:val="28"/>
        </w:rPr>
      </w:pPr>
    </w:p>
    <w:p w14:paraId="4E000000">
      <w:pPr>
        <w:pStyle w:val="Style_4"/>
        <w:ind/>
        <w:jc w:val="center"/>
        <w:rPr>
          <w:sz w:val="28"/>
        </w:rPr>
      </w:pPr>
    </w:p>
    <w:p w14:paraId="4F000000">
      <w:pPr>
        <w:pStyle w:val="Style_4"/>
        <w:ind/>
        <w:jc w:val="center"/>
        <w:rPr>
          <w:sz w:val="28"/>
        </w:rPr>
      </w:pPr>
    </w:p>
    <w:p w14:paraId="50000000">
      <w:pPr>
        <w:pStyle w:val="Style_4"/>
        <w:ind/>
        <w:jc w:val="center"/>
        <w:rPr>
          <w:sz w:val="28"/>
        </w:rPr>
      </w:pPr>
      <w:r>
        <w:rPr>
          <w:sz w:val="28"/>
        </w:rPr>
        <w:drawing>
          <wp:inline>
            <wp:extent cx="1053307" cy="1152525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1053307" cy="11525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1000000">
      <w:pPr>
        <w:pStyle w:val="Style_4"/>
        <w:ind/>
        <w:jc w:val="center"/>
        <w:rPr>
          <w:sz w:val="28"/>
        </w:rPr>
      </w:pPr>
    </w:p>
    <w:p w14:paraId="52000000">
      <w:pPr>
        <w:pStyle w:val="Style_4"/>
        <w:ind/>
        <w:jc w:val="center"/>
        <w:rPr>
          <w:sz w:val="28"/>
        </w:rPr>
      </w:pPr>
      <w:r>
        <w:rPr>
          <w:sz w:val="28"/>
        </w:rPr>
        <w:t>г.Астрахань, 2026</w:t>
      </w:r>
    </w:p>
    <w:sectPr>
      <w:pgSz w:h="11906" w:orient="landscape" w:w="16838"/>
      <w:pgMar w:bottom="567" w:footer="709" w:gutter="0" w:header="709" w:left="567" w:right="567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spacing w:after="200" w:line="276" w:lineRule="auto"/>
      <w:ind/>
    </w:pPr>
    <w:rPr>
      <w:sz w:val="22"/>
    </w:rPr>
  </w:style>
  <w:style w:default="1" w:styleId="Style_5_ch" w:type="character">
    <w:name w:val="Normal"/>
    <w:link w:val="Style_5"/>
    <w:rPr>
      <w:sz w:val="22"/>
    </w:rPr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5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5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5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Endnote"/>
    <w:link w:val="Style_10_ch"/>
    <w:pPr>
      <w:ind w:firstLine="851" w:left="0"/>
      <w:jc w:val="both"/>
    </w:pPr>
    <w:rPr>
      <w:rFonts w:ascii="XO Thames" w:hAnsi="XO Thames"/>
      <w:sz w:val="22"/>
    </w:rPr>
  </w:style>
  <w:style w:styleId="Style_10_ch" w:type="character">
    <w:name w:val="Endnote"/>
    <w:link w:val="Style_10"/>
    <w:rPr>
      <w:rFonts w:ascii="XO Thames" w:hAnsi="XO Thames"/>
      <w:sz w:val="22"/>
    </w:rPr>
  </w:style>
  <w:style w:styleId="Style_11" w:type="paragraph">
    <w:name w:val="heading 3"/>
    <w:next w:val="Style_5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Balloon Text"/>
    <w:basedOn w:val="Style_5"/>
    <w:link w:val="Style_12_ch"/>
    <w:pPr>
      <w:spacing w:after="0" w:line="240" w:lineRule="auto"/>
      <w:ind/>
    </w:pPr>
    <w:rPr>
      <w:rFonts w:ascii="Tahoma" w:hAnsi="Tahoma"/>
      <w:sz w:val="16"/>
    </w:rPr>
  </w:style>
  <w:style w:styleId="Style_12_ch" w:type="character">
    <w:name w:val="Balloon Text"/>
    <w:basedOn w:val="Style_5_ch"/>
    <w:link w:val="Style_12"/>
    <w:rPr>
      <w:rFonts w:ascii="Tahoma" w:hAnsi="Tahoma"/>
      <w:sz w:val="16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14" w:type="paragraph">
    <w:name w:val="toc 3"/>
    <w:next w:val="Style_5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" w:type="paragraph">
    <w:name w:val="Normal (Web)"/>
    <w:basedOn w:val="Style_5"/>
    <w:link w:val="Style_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_ch" w:type="character">
    <w:name w:val="Normal (Web)"/>
    <w:basedOn w:val="Style_5_ch"/>
    <w:link w:val="Style_1"/>
    <w:rPr>
      <w:rFonts w:ascii="Times New Roman" w:hAnsi="Times New Roman"/>
      <w:sz w:val="24"/>
    </w:rPr>
  </w:style>
  <w:style w:styleId="Style_15" w:type="paragraph">
    <w:name w:val="heading 5"/>
    <w:next w:val="Style_5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4" w:type="paragraph">
    <w:name w:val="heading 1"/>
    <w:basedOn w:val="Style_5"/>
    <w:link w:val="Style_4_ch"/>
    <w:uiPriority w:val="9"/>
    <w:qFormat/>
    <w:pPr>
      <w:spacing w:afterAutospacing="on" w:beforeAutospacing="on" w:line="240" w:lineRule="auto"/>
      <w:ind/>
      <w:outlineLvl w:val="0"/>
    </w:pPr>
    <w:rPr>
      <w:rFonts w:ascii="Times New Roman" w:hAnsi="Times New Roman"/>
      <w:b w:val="1"/>
      <w:sz w:val="48"/>
    </w:rPr>
  </w:style>
  <w:style w:styleId="Style_4_ch" w:type="character">
    <w:name w:val="heading 1"/>
    <w:basedOn w:val="Style_5_ch"/>
    <w:link w:val="Style_4"/>
    <w:rPr>
      <w:rFonts w:ascii="Times New Roman" w:hAnsi="Times New Roman"/>
      <w:b w:val="1"/>
      <w:sz w:val="48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5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8"/>
    </w:rPr>
  </w:style>
  <w:style w:styleId="Style_19_ch" w:type="character">
    <w:name w:val="Header and Footer"/>
    <w:link w:val="Style_19"/>
    <w:rPr>
      <w:rFonts w:ascii="XO Thames" w:hAnsi="XO Thames"/>
      <w:sz w:val="28"/>
    </w:rPr>
  </w:style>
  <w:style w:styleId="Style_20" w:type="paragraph">
    <w:name w:val="Default"/>
    <w:link w:val="Style_20_ch"/>
    <w:rPr>
      <w:rFonts w:ascii="Times New Roman" w:hAnsi="Times New Roman"/>
      <w:color w:val="000000"/>
      <w:sz w:val="24"/>
    </w:rPr>
  </w:style>
  <w:style w:styleId="Style_20_ch" w:type="character">
    <w:name w:val="Default"/>
    <w:link w:val="Style_20"/>
    <w:rPr>
      <w:rFonts w:ascii="Times New Roman" w:hAnsi="Times New Roman"/>
      <w:color w:val="000000"/>
      <w:sz w:val="24"/>
    </w:rPr>
  </w:style>
  <w:style w:styleId="Style_21" w:type="paragraph">
    <w:name w:val="toc 9"/>
    <w:next w:val="Style_5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toc 8"/>
    <w:next w:val="Style_5"/>
    <w:link w:val="Style_2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toc 5"/>
    <w:next w:val="Style_5"/>
    <w:link w:val="Style_2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3" w:type="paragraph">
    <w:name w:val="Strong"/>
    <w:link w:val="Style_3_ch"/>
    <w:rPr>
      <w:b w:val="1"/>
    </w:rPr>
  </w:style>
  <w:style w:styleId="Style_3_ch" w:type="character">
    <w:name w:val="Strong"/>
    <w:link w:val="Style_3"/>
    <w:rPr>
      <w:b w:val="1"/>
    </w:rPr>
  </w:style>
  <w:style w:styleId="Style_24" w:type="paragraph">
    <w:name w:val="Subtitle"/>
    <w:next w:val="Style_5"/>
    <w:link w:val="Style_2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4_ch" w:type="character">
    <w:name w:val="Subtitle"/>
    <w:link w:val="Style_24"/>
    <w:rPr>
      <w:rFonts w:ascii="XO Thames" w:hAnsi="XO Thames"/>
      <w:i w:val="1"/>
      <w:sz w:val="24"/>
    </w:rPr>
  </w:style>
  <w:style w:styleId="Style_25" w:type="paragraph">
    <w:name w:val="Текст.Normal"/>
    <w:link w:val="Style_25_ch"/>
    <w:pPr>
      <w:spacing w:line="360" w:lineRule="auto"/>
      <w:ind w:firstLine="567" w:left="0"/>
    </w:pPr>
    <w:rPr>
      <w:rFonts w:ascii="Times New Roman" w:hAnsi="Times New Roman"/>
      <w:sz w:val="28"/>
    </w:rPr>
  </w:style>
  <w:style w:styleId="Style_25_ch" w:type="character">
    <w:name w:val="Текст.Normal"/>
    <w:link w:val="Style_25"/>
    <w:rPr>
      <w:rFonts w:ascii="Times New Roman" w:hAnsi="Times New Roman"/>
      <w:sz w:val="28"/>
    </w:rPr>
  </w:style>
  <w:style w:styleId="Style_26" w:type="paragraph">
    <w:name w:val="Title"/>
    <w:next w:val="Style_5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5"/>
    <w:link w:val="Style_2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28" w:type="paragraph">
    <w:name w:val="Основной текст1"/>
    <w:basedOn w:val="Style_5"/>
    <w:link w:val="Style_28_ch"/>
    <w:pPr>
      <w:spacing w:after="180" w:line="240" w:lineRule="atLeast"/>
      <w:ind/>
    </w:pPr>
    <w:rPr>
      <w:rFonts w:ascii="Times New Roman" w:hAnsi="Times New Roman"/>
      <w:sz w:val="15"/>
      <w:highlight w:val="white"/>
    </w:rPr>
  </w:style>
  <w:style w:styleId="Style_28_ch" w:type="character">
    <w:name w:val="Основной текст1"/>
    <w:basedOn w:val="Style_5_ch"/>
    <w:link w:val="Style_28"/>
    <w:rPr>
      <w:rFonts w:ascii="Times New Roman" w:hAnsi="Times New Roman"/>
      <w:sz w:val="15"/>
      <w:highlight w:val="white"/>
    </w:rPr>
  </w:style>
  <w:style w:styleId="Style_29" w:type="paragraph">
    <w:name w:val="heading 2"/>
    <w:next w:val="Style_5"/>
    <w:link w:val="Style_29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9_ch" w:type="character">
    <w:name w:val="heading 2"/>
    <w:link w:val="Style_29"/>
    <w:rPr>
      <w:rFonts w:ascii="XO Thames" w:hAnsi="XO Thames"/>
      <w:b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ettings.xml" Type="http://schemas.openxmlformats.org/officeDocument/2006/relationships/settings"/>
  <Relationship Id="rId1" Target="media/1.jpeg" Type="http://schemas.openxmlformats.org/officeDocument/2006/relationships/image"/>
  <Relationship Id="rId10" Target="theme/theme1.xml" Type="http://schemas.openxmlformats.org/officeDocument/2006/relationships/theme"/>
  <Relationship Id="rId2" Target="media/2.jpeg" Type="http://schemas.openxmlformats.org/officeDocument/2006/relationships/image"/>
  <Relationship Id="rId3" Target="media/3.png" Type="http://schemas.openxmlformats.org/officeDocument/2006/relationships/image"/>
  <Relationship Id="rId8" Target="stylesWithEffects.xml" Type="http://schemas.microsoft.com/office/2007/relationships/stylesWithEffects"/>
  <Relationship Id="rId4" Target="media/4.png" Type="http://schemas.openxmlformats.org/officeDocument/2006/relationships/image"/>
  <Relationship Id="rId9" Target="webSettings.xml" Type="http://schemas.openxmlformats.org/officeDocument/2006/relationships/webSettings"/>
  <Relationship Id="rId7" Target="styles.xml" Type="http://schemas.openxmlformats.org/officeDocument/2006/relationships/styles"/>
  <Relationship Id="rId5" Target="fontTable.xml" Type="http://schemas.openxmlformats.org/officeDocument/2006/relationships/fontTabl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MyOffice-CoreFramework-Linux/31-1176.784.8785.803.1@b7d79ee91c0484ce8e5066dc862bfc403a32edb5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2026-06-11T10:28:12Z</dcterms:modified>
</cp:coreProperties>
</file>