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D6" w:rsidRDefault="009D2AD6" w:rsidP="009D2AD6">
      <w:pPr>
        <w:pStyle w:val="Default"/>
      </w:pPr>
      <w:bookmarkStart w:id="0" w:name="_GoBack"/>
      <w:bookmarkEnd w:id="0"/>
    </w:p>
    <w:p w:rsidR="009D2AD6" w:rsidRPr="009D2AD6" w:rsidRDefault="009D2AD6" w:rsidP="009D2AD6">
      <w:pPr>
        <w:pStyle w:val="Default"/>
        <w:jc w:val="center"/>
        <w:rPr>
          <w:b/>
        </w:rPr>
      </w:pPr>
      <w:r>
        <w:rPr>
          <w:b/>
        </w:rPr>
        <w:t>ПРАВИЛА СОРЕВНОВАНИЙ ПО ПЛАВАНИЮ.</w:t>
      </w:r>
    </w:p>
    <w:p w:rsidR="009D2AD6" w:rsidRPr="009D2AD6" w:rsidRDefault="009D2AD6" w:rsidP="009D2AD6">
      <w:pPr>
        <w:pStyle w:val="Default"/>
        <w:jc w:val="center"/>
        <w:rPr>
          <w:b/>
        </w:rPr>
      </w:pPr>
      <w:r>
        <w:rPr>
          <w:b/>
        </w:rPr>
        <w:t>СУДЬИ.</w:t>
      </w:r>
    </w:p>
    <w:p w:rsidR="009D2AD6" w:rsidRDefault="009D2AD6" w:rsidP="009D2AD6">
      <w:pPr>
        <w:pStyle w:val="Default"/>
        <w:jc w:val="center"/>
        <w:rPr>
          <w:b/>
          <w:bCs/>
          <w:sz w:val="28"/>
          <w:szCs w:val="28"/>
        </w:rPr>
      </w:pPr>
    </w:p>
    <w:p w:rsidR="009D2AD6" w:rsidRDefault="009D2AD6" w:rsidP="009D2AD6">
      <w:pPr>
        <w:pStyle w:val="Default"/>
        <w:jc w:val="center"/>
        <w:rPr>
          <w:sz w:val="28"/>
          <w:szCs w:val="28"/>
        </w:rPr>
      </w:pPr>
      <w:r>
        <w:rPr>
          <w:b/>
          <w:bCs/>
          <w:sz w:val="28"/>
          <w:szCs w:val="28"/>
        </w:rPr>
        <w:t>СТАРШИЙ СУДЬЯ НА ПОВОРОТЕ</w:t>
      </w:r>
    </w:p>
    <w:p w:rsidR="009D2AD6" w:rsidRDefault="009D2AD6" w:rsidP="009D2AD6">
      <w:pPr>
        <w:pStyle w:val="Default"/>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4707"/>
        <w:gridCol w:w="4707"/>
      </w:tblGrid>
      <w:tr w:rsidR="009D2AD6">
        <w:trPr>
          <w:trHeight w:val="288"/>
        </w:trPr>
        <w:tc>
          <w:tcPr>
            <w:tcW w:w="4707" w:type="dxa"/>
          </w:tcPr>
          <w:p w:rsidR="009D2AD6" w:rsidRDefault="009D2AD6">
            <w:pPr>
              <w:pStyle w:val="Default"/>
              <w:rPr>
                <w:sz w:val="28"/>
                <w:szCs w:val="28"/>
              </w:rPr>
            </w:pPr>
            <w:r>
              <w:rPr>
                <w:sz w:val="28"/>
                <w:szCs w:val="28"/>
              </w:rPr>
              <w:t>Старший судья на повороте обеспечивает выполнение судьями на повороте своих обязанностей в течение соревнований.</w:t>
            </w:r>
          </w:p>
        </w:tc>
        <w:tc>
          <w:tcPr>
            <w:tcW w:w="4707" w:type="dxa"/>
          </w:tcPr>
          <w:p w:rsidR="009D2AD6" w:rsidRDefault="009D2AD6">
            <w:pPr>
              <w:pStyle w:val="Default"/>
              <w:rPr>
                <w:sz w:val="28"/>
                <w:szCs w:val="28"/>
              </w:rPr>
            </w:pPr>
          </w:p>
        </w:tc>
      </w:tr>
    </w:tbl>
    <w:p w:rsidR="009D2AD6" w:rsidRDefault="009D2AD6" w:rsidP="009D2AD6">
      <w:pPr>
        <w:pStyle w:val="Default"/>
      </w:pPr>
    </w:p>
    <w:p w:rsidR="009D2AD6" w:rsidRDefault="009D2AD6" w:rsidP="009D2AD6">
      <w:pPr>
        <w:pStyle w:val="Default"/>
        <w:jc w:val="center"/>
        <w:rPr>
          <w:sz w:val="28"/>
          <w:szCs w:val="28"/>
        </w:rPr>
      </w:pPr>
      <w:r>
        <w:rPr>
          <w:b/>
          <w:bCs/>
          <w:sz w:val="28"/>
          <w:szCs w:val="28"/>
        </w:rPr>
        <w:t>СУДЬЯ НА ПОВОРОТЕ</w:t>
      </w:r>
    </w:p>
    <w:p w:rsidR="009D2AD6" w:rsidRDefault="009D2AD6" w:rsidP="009D2AD6">
      <w:pPr>
        <w:pStyle w:val="Default"/>
        <w:rPr>
          <w:sz w:val="28"/>
          <w:szCs w:val="28"/>
        </w:rPr>
      </w:pPr>
    </w:p>
    <w:tbl>
      <w:tblPr>
        <w:tblW w:w="9638" w:type="dxa"/>
        <w:tblBorders>
          <w:top w:val="nil"/>
          <w:left w:val="nil"/>
          <w:bottom w:val="nil"/>
          <w:right w:val="nil"/>
        </w:tblBorders>
        <w:tblLayout w:type="fixed"/>
        <w:tblLook w:val="0000" w:firstRow="0" w:lastRow="0" w:firstColumn="0" w:lastColumn="0" w:noHBand="0" w:noVBand="0"/>
      </w:tblPr>
      <w:tblGrid>
        <w:gridCol w:w="4819"/>
        <w:gridCol w:w="4819"/>
      </w:tblGrid>
      <w:tr w:rsidR="009D2AD6" w:rsidTr="009D2AD6">
        <w:trPr>
          <w:trHeight w:val="288"/>
        </w:trPr>
        <w:tc>
          <w:tcPr>
            <w:tcW w:w="4819" w:type="dxa"/>
          </w:tcPr>
          <w:p w:rsidR="009D2AD6" w:rsidRDefault="009D2AD6">
            <w:pPr>
              <w:pStyle w:val="Default"/>
              <w:rPr>
                <w:sz w:val="28"/>
                <w:szCs w:val="28"/>
              </w:rPr>
            </w:pPr>
            <w:r>
              <w:rPr>
                <w:sz w:val="28"/>
                <w:szCs w:val="28"/>
              </w:rPr>
              <w:t xml:space="preserve">4.7.1. </w:t>
            </w:r>
          </w:p>
        </w:tc>
        <w:tc>
          <w:tcPr>
            <w:tcW w:w="4819" w:type="dxa"/>
          </w:tcPr>
          <w:p w:rsidR="009D2AD6" w:rsidRDefault="009D2AD6">
            <w:pPr>
              <w:pStyle w:val="Default"/>
              <w:rPr>
                <w:sz w:val="28"/>
                <w:szCs w:val="28"/>
              </w:rPr>
            </w:pPr>
            <w:r>
              <w:rPr>
                <w:sz w:val="28"/>
                <w:szCs w:val="28"/>
              </w:rPr>
              <w:t xml:space="preserve">Судьи на поворотах должны быть назначены на каждый конец каждой дорожки бассейна. </w:t>
            </w:r>
          </w:p>
        </w:tc>
      </w:tr>
      <w:tr w:rsidR="009D2AD6" w:rsidTr="009D2AD6">
        <w:trPr>
          <w:trHeight w:val="2704"/>
        </w:trPr>
        <w:tc>
          <w:tcPr>
            <w:tcW w:w="4819" w:type="dxa"/>
          </w:tcPr>
          <w:p w:rsidR="009D2AD6" w:rsidRDefault="009D2AD6">
            <w:pPr>
              <w:pStyle w:val="Default"/>
              <w:rPr>
                <w:sz w:val="28"/>
                <w:szCs w:val="28"/>
              </w:rPr>
            </w:pPr>
            <w:r>
              <w:rPr>
                <w:sz w:val="28"/>
                <w:szCs w:val="28"/>
              </w:rPr>
              <w:t xml:space="preserve">4.7.2. </w:t>
            </w: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4735BE" w:rsidRDefault="004735BE">
            <w:pPr>
              <w:pStyle w:val="Default"/>
              <w:rPr>
                <w:sz w:val="28"/>
                <w:szCs w:val="28"/>
              </w:rPr>
            </w:pPr>
          </w:p>
          <w:p w:rsidR="009D2AD6" w:rsidRDefault="009D2AD6">
            <w:pPr>
              <w:pStyle w:val="Default"/>
              <w:rPr>
                <w:sz w:val="28"/>
                <w:szCs w:val="28"/>
              </w:rPr>
            </w:pPr>
            <w:r>
              <w:rPr>
                <w:sz w:val="28"/>
                <w:szCs w:val="28"/>
              </w:rPr>
              <w:t xml:space="preserve">4.7.3. </w:t>
            </w:r>
          </w:p>
        </w:tc>
        <w:tc>
          <w:tcPr>
            <w:tcW w:w="4819" w:type="dxa"/>
          </w:tcPr>
          <w:p w:rsidR="009D2AD6" w:rsidRDefault="009D2AD6">
            <w:pPr>
              <w:pStyle w:val="Default"/>
              <w:rPr>
                <w:sz w:val="28"/>
                <w:szCs w:val="28"/>
              </w:rPr>
            </w:pPr>
            <w:r>
              <w:rPr>
                <w:sz w:val="28"/>
                <w:szCs w:val="28"/>
              </w:rPr>
              <w:t xml:space="preserve">Все судьи на поворотах следят за тем, чтобы пловцы соблюдали соответствующие правила поворота от начала последнего гребка руками перед касанием до завершения первого гребка руками после поворота, кроме брасса, в котором зона ответственности судьи заканчивается после второго гребка. Судьи на повороте на стартовом конце бассейна должны следить за тем, чтобы пловцы выполняли соответствующие правила, начиная от старта и до завершения первого гребка руками, кроме брасса, в котором зона ответственности судьи заканчивается после второго гребка. Судьи на повороте на финишном конце бассейна также следят, чтобы пловцы заканчивали заплыв согласно соответствующим правилам. Зона ответственности судьи на финишном конце бассейна начинается с началом последнего гребка перед касанием. </w:t>
            </w:r>
          </w:p>
          <w:p w:rsidR="009D2AD6" w:rsidRDefault="009D2AD6">
            <w:pPr>
              <w:pStyle w:val="Default"/>
              <w:rPr>
                <w:sz w:val="28"/>
                <w:szCs w:val="28"/>
              </w:rPr>
            </w:pPr>
            <w:r>
              <w:rPr>
                <w:sz w:val="28"/>
                <w:szCs w:val="28"/>
              </w:rPr>
              <w:t xml:space="preserve">Когда используется устройство для старта на спине, каждый судья на стартовом конце бассейна должен устанавливать и снимать это устройство. </w:t>
            </w:r>
          </w:p>
        </w:tc>
      </w:tr>
      <w:tr w:rsidR="009D2AD6" w:rsidTr="009D2AD6">
        <w:trPr>
          <w:trHeight w:val="1093"/>
        </w:trPr>
        <w:tc>
          <w:tcPr>
            <w:tcW w:w="4819" w:type="dxa"/>
          </w:tcPr>
          <w:p w:rsidR="009D2AD6" w:rsidRDefault="009D2AD6">
            <w:pPr>
              <w:pStyle w:val="Default"/>
              <w:rPr>
                <w:sz w:val="28"/>
                <w:szCs w:val="28"/>
              </w:rPr>
            </w:pPr>
            <w:r>
              <w:rPr>
                <w:sz w:val="28"/>
                <w:szCs w:val="28"/>
              </w:rPr>
              <w:lastRenderedPageBreak/>
              <w:t xml:space="preserve">4.7.4. </w:t>
            </w:r>
          </w:p>
        </w:tc>
        <w:tc>
          <w:tcPr>
            <w:tcW w:w="4819" w:type="dxa"/>
          </w:tcPr>
          <w:p w:rsidR="009D2AD6" w:rsidRDefault="009D2AD6">
            <w:pPr>
              <w:pStyle w:val="Default"/>
              <w:rPr>
                <w:sz w:val="28"/>
                <w:szCs w:val="28"/>
              </w:rPr>
            </w:pPr>
            <w:proofErr w:type="gramStart"/>
            <w:r>
              <w:rPr>
                <w:sz w:val="28"/>
                <w:szCs w:val="28"/>
              </w:rPr>
              <w:t>В заплывах на дистанциях 800 и 1500 м каждый судья на повороте на стартовом и поворотном концах бассейна учитывает число отрезков, пройденных пловцом по его дорожке.</w:t>
            </w:r>
            <w:proofErr w:type="gramEnd"/>
            <w:r>
              <w:rPr>
                <w:sz w:val="28"/>
                <w:szCs w:val="28"/>
              </w:rPr>
              <w:t xml:space="preserve"> Судья на повороте на поворотном конце бассейна показывает спортсмену нечетное число оставшихся отрезков с помощью цифровых «таблиц отрезков». Для этого также может быть использовано электронное оборудование, включая подводный дисплей (указатель). </w:t>
            </w:r>
          </w:p>
        </w:tc>
      </w:tr>
    </w:tbl>
    <w:p w:rsidR="009D2AD6" w:rsidRDefault="009D2AD6" w:rsidP="009D2AD6">
      <w:r>
        <w:t>4.7.5.</w:t>
      </w:r>
    </w:p>
    <w:p w:rsidR="004A1AEA" w:rsidRDefault="009D2AD6" w:rsidP="009D2AD6">
      <w:r>
        <w:t>Каждый судья на стартовом конце должен давать предупреждающий сигнал, когда пловцу на его дорожке осталось плыть две длины бассейна плюс 5 м в заплывах на 800 и 1500 м. Сигнал может быть повторен после прохождения поворота в промежуток времени, пока спортсмен не достиг 5-метровой отметки на разделительном шнуре. Предупреждающим сигналом может служить свисток или звонок.</w:t>
      </w:r>
    </w:p>
    <w:tbl>
      <w:tblPr>
        <w:tblW w:w="0" w:type="auto"/>
        <w:tblBorders>
          <w:top w:val="nil"/>
          <w:left w:val="nil"/>
          <w:bottom w:val="nil"/>
          <w:right w:val="nil"/>
        </w:tblBorders>
        <w:tblLayout w:type="fixed"/>
        <w:tblLook w:val="0000" w:firstRow="0" w:lastRow="0" w:firstColumn="0" w:lastColumn="0" w:noHBand="0" w:noVBand="0"/>
      </w:tblPr>
      <w:tblGrid>
        <w:gridCol w:w="4820"/>
        <w:gridCol w:w="4820"/>
      </w:tblGrid>
      <w:tr w:rsidR="009D2AD6">
        <w:trPr>
          <w:trHeight w:val="932"/>
        </w:trPr>
        <w:tc>
          <w:tcPr>
            <w:tcW w:w="4820" w:type="dxa"/>
          </w:tcPr>
          <w:p w:rsidR="009D2AD6" w:rsidRDefault="009D2AD6">
            <w:pPr>
              <w:pStyle w:val="Default"/>
              <w:rPr>
                <w:sz w:val="28"/>
                <w:szCs w:val="28"/>
              </w:rPr>
            </w:pPr>
            <w:r>
              <w:rPr>
                <w:sz w:val="28"/>
                <w:szCs w:val="28"/>
              </w:rPr>
              <w:t xml:space="preserve">4.7.6. </w:t>
            </w:r>
          </w:p>
        </w:tc>
        <w:tc>
          <w:tcPr>
            <w:tcW w:w="4820" w:type="dxa"/>
          </w:tcPr>
          <w:p w:rsidR="009D2AD6" w:rsidRDefault="009D2AD6">
            <w:pPr>
              <w:pStyle w:val="Default"/>
              <w:rPr>
                <w:sz w:val="28"/>
                <w:szCs w:val="28"/>
              </w:rPr>
            </w:pPr>
            <w:r>
              <w:rPr>
                <w:sz w:val="28"/>
                <w:szCs w:val="28"/>
              </w:rPr>
              <w:t xml:space="preserve">Каждый судья на стартовом конце в заплывах эстафет определяет, находится ли стартующий в контакте со стартовой тумбочкой в момент касания предыдущим пловцом стартовой стенки. Когда применяется автоматическое оборудование, которое оценивает момент «отрыв-касание» в эстафете, оно используется в соответствии с п. 14.1. </w:t>
            </w:r>
          </w:p>
        </w:tc>
      </w:tr>
      <w:tr w:rsidR="009D2AD6">
        <w:trPr>
          <w:trHeight w:val="449"/>
        </w:trPr>
        <w:tc>
          <w:tcPr>
            <w:tcW w:w="4820" w:type="dxa"/>
          </w:tcPr>
          <w:p w:rsidR="009D2AD6" w:rsidRDefault="009D2AD6">
            <w:pPr>
              <w:pStyle w:val="Default"/>
              <w:rPr>
                <w:sz w:val="28"/>
                <w:szCs w:val="28"/>
              </w:rPr>
            </w:pPr>
            <w:r>
              <w:rPr>
                <w:sz w:val="28"/>
                <w:szCs w:val="28"/>
              </w:rPr>
              <w:t xml:space="preserve">4.7.7. </w:t>
            </w:r>
          </w:p>
        </w:tc>
        <w:tc>
          <w:tcPr>
            <w:tcW w:w="4820" w:type="dxa"/>
          </w:tcPr>
          <w:p w:rsidR="009D2AD6" w:rsidRDefault="009D2AD6">
            <w:pPr>
              <w:pStyle w:val="Default"/>
              <w:rPr>
                <w:sz w:val="28"/>
                <w:szCs w:val="28"/>
              </w:rPr>
            </w:pPr>
            <w:r>
              <w:rPr>
                <w:sz w:val="28"/>
                <w:szCs w:val="28"/>
              </w:rPr>
              <w:t xml:space="preserve">Судьи на поворотах должны передать заполненную карточку дисквалификации рефери, информируя о любом нарушении правил с указанием заплыва, номера дорожки и характера нарушения. </w:t>
            </w:r>
          </w:p>
        </w:tc>
      </w:tr>
    </w:tbl>
    <w:p w:rsidR="009D2AD6" w:rsidRDefault="009D2AD6" w:rsidP="009D2AD6"/>
    <w:sectPr w:rsidR="009D2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D6"/>
    <w:rsid w:val="004735BE"/>
    <w:rsid w:val="004A1AEA"/>
    <w:rsid w:val="009D2AD6"/>
    <w:rsid w:val="00CF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2A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2A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Елена</cp:lastModifiedBy>
  <cp:revision>2</cp:revision>
  <dcterms:created xsi:type="dcterms:W3CDTF">2020-07-28T10:03:00Z</dcterms:created>
  <dcterms:modified xsi:type="dcterms:W3CDTF">2020-07-28T10:03:00Z</dcterms:modified>
</cp:coreProperties>
</file>