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  <w:r w:rsidRPr="00141173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141173">
        <w:rPr>
          <w:rFonts w:ascii="Times New Roman" w:hAnsi="Times New Roman" w:cs="Times New Roman"/>
        </w:rPr>
        <w:t>«УТВЕРЖДАЮ»</w:t>
      </w: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  <w:r w:rsidRPr="001411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2E6BB0">
        <w:rPr>
          <w:rFonts w:ascii="Times New Roman" w:hAnsi="Times New Roman" w:cs="Times New Roman"/>
        </w:rPr>
        <w:t xml:space="preserve">                  Директор МБОУ СОШ</w:t>
      </w:r>
      <w:r w:rsidRPr="00141173">
        <w:rPr>
          <w:rFonts w:ascii="Times New Roman" w:hAnsi="Times New Roman" w:cs="Times New Roman"/>
        </w:rPr>
        <w:t xml:space="preserve"> №</w:t>
      </w:r>
      <w:r w:rsidR="002E6BB0">
        <w:rPr>
          <w:rFonts w:ascii="Times New Roman" w:hAnsi="Times New Roman" w:cs="Times New Roman"/>
        </w:rPr>
        <w:t>1</w:t>
      </w:r>
      <w:r w:rsidRPr="00141173">
        <w:rPr>
          <w:rFonts w:ascii="Times New Roman" w:hAnsi="Times New Roman" w:cs="Times New Roman"/>
        </w:rPr>
        <w:t>3</w:t>
      </w: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  <w:r w:rsidRPr="001411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____</w:t>
      </w:r>
      <w:r w:rsidR="00495B40">
        <w:rPr>
          <w:rFonts w:ascii="Times New Roman" w:hAnsi="Times New Roman" w:cs="Times New Roman"/>
        </w:rPr>
        <w:t>__________________/_______________</w:t>
      </w:r>
      <w:r w:rsidRPr="00141173">
        <w:rPr>
          <w:rFonts w:ascii="Times New Roman" w:hAnsi="Times New Roman" w:cs="Times New Roman"/>
        </w:rPr>
        <w:t>/</w:t>
      </w: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  <w:r w:rsidRPr="001411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495B40">
        <w:rPr>
          <w:rFonts w:ascii="Times New Roman" w:hAnsi="Times New Roman" w:cs="Times New Roman"/>
        </w:rPr>
        <w:t xml:space="preserve">                01 сентября 2022</w:t>
      </w:r>
      <w:r w:rsidRPr="00141173">
        <w:rPr>
          <w:rFonts w:ascii="Times New Roman" w:hAnsi="Times New Roman" w:cs="Times New Roman"/>
        </w:rPr>
        <w:t xml:space="preserve"> г.</w:t>
      </w: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41173">
        <w:rPr>
          <w:b/>
          <w:sz w:val="32"/>
          <w:szCs w:val="32"/>
        </w:rPr>
        <w:t xml:space="preserve">                                                         </w:t>
      </w:r>
      <w:r w:rsidRPr="00141173">
        <w:rPr>
          <w:rFonts w:ascii="Times New Roman" w:hAnsi="Times New Roman" w:cs="Times New Roman"/>
          <w:b/>
          <w:sz w:val="32"/>
          <w:szCs w:val="32"/>
        </w:rPr>
        <w:t>План работы библиотеки М</w:t>
      </w:r>
      <w:r w:rsidR="002E6BB0">
        <w:rPr>
          <w:rFonts w:ascii="Times New Roman" w:hAnsi="Times New Roman" w:cs="Times New Roman"/>
          <w:b/>
          <w:sz w:val="32"/>
          <w:szCs w:val="32"/>
        </w:rPr>
        <w:t>БОУ СОШ</w:t>
      </w:r>
      <w:r w:rsidRPr="00141173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2E6BB0">
        <w:rPr>
          <w:rFonts w:ascii="Times New Roman" w:hAnsi="Times New Roman" w:cs="Times New Roman"/>
          <w:b/>
          <w:sz w:val="32"/>
          <w:szCs w:val="32"/>
        </w:rPr>
        <w:t>1</w:t>
      </w:r>
      <w:r w:rsidRPr="00141173">
        <w:rPr>
          <w:rFonts w:ascii="Times New Roman" w:hAnsi="Times New Roman" w:cs="Times New Roman"/>
          <w:b/>
          <w:sz w:val="32"/>
          <w:szCs w:val="32"/>
        </w:rPr>
        <w:t>3</w:t>
      </w:r>
    </w:p>
    <w:p w:rsidR="002E6BB0" w:rsidRPr="00141173" w:rsidRDefault="002E6BB0" w:rsidP="002E6BB0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им. Ф.И. Фоменко ст.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Новопетровской</w:t>
      </w:r>
      <w:proofErr w:type="spellEnd"/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411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495B40">
        <w:rPr>
          <w:rFonts w:ascii="Times New Roman" w:hAnsi="Times New Roman" w:cs="Times New Roman"/>
          <w:b/>
          <w:sz w:val="32"/>
          <w:szCs w:val="32"/>
        </w:rPr>
        <w:t xml:space="preserve">                       на 2022 -2023</w:t>
      </w:r>
      <w:r w:rsidRPr="0014117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570F" w:rsidRPr="00646BFF" w:rsidRDefault="0075570F" w:rsidP="0075570F">
      <w:pPr>
        <w:tabs>
          <w:tab w:val="left" w:pos="720"/>
        </w:tabs>
        <w:ind w:right="-1161"/>
        <w:jc w:val="both"/>
        <w:rPr>
          <w:sz w:val="28"/>
          <w:szCs w:val="28"/>
        </w:rPr>
      </w:pPr>
      <w:r w:rsidRPr="00646BFF">
        <w:rPr>
          <w:sz w:val="28"/>
          <w:szCs w:val="28"/>
          <w:lang w:val="en-US"/>
        </w:rPr>
        <w:lastRenderedPageBreak/>
        <w:t>I</w:t>
      </w:r>
      <w:r w:rsidRPr="00646BFF">
        <w:rPr>
          <w:sz w:val="28"/>
          <w:szCs w:val="28"/>
        </w:rPr>
        <w:t>.Анализ работы библиотеки М</w:t>
      </w:r>
      <w:r>
        <w:rPr>
          <w:sz w:val="28"/>
          <w:szCs w:val="28"/>
        </w:rPr>
        <w:t>К</w:t>
      </w:r>
      <w:r w:rsidRPr="00646BFF">
        <w:rPr>
          <w:sz w:val="28"/>
          <w:szCs w:val="28"/>
        </w:rPr>
        <w:t xml:space="preserve">ОУ СОШ № </w:t>
      </w:r>
      <w:r>
        <w:rPr>
          <w:sz w:val="28"/>
          <w:szCs w:val="28"/>
        </w:rPr>
        <w:t>1</w:t>
      </w:r>
      <w:r w:rsidRPr="00646BFF">
        <w:rPr>
          <w:sz w:val="28"/>
          <w:szCs w:val="28"/>
        </w:rPr>
        <w:t xml:space="preserve">3 </w:t>
      </w:r>
      <w:r>
        <w:rPr>
          <w:sz w:val="28"/>
          <w:szCs w:val="28"/>
        </w:rPr>
        <w:t>за 2019-2020</w:t>
      </w:r>
      <w:r w:rsidRPr="00646BFF">
        <w:rPr>
          <w:sz w:val="28"/>
          <w:szCs w:val="28"/>
        </w:rPr>
        <w:t xml:space="preserve"> учебный год</w:t>
      </w:r>
    </w:p>
    <w:p w:rsidR="0075570F" w:rsidRPr="00646BFF" w:rsidRDefault="0075570F" w:rsidP="0075570F">
      <w:pPr>
        <w:tabs>
          <w:tab w:val="left" w:pos="720"/>
        </w:tabs>
        <w:jc w:val="both"/>
        <w:rPr>
          <w:sz w:val="28"/>
          <w:szCs w:val="28"/>
        </w:rPr>
      </w:pPr>
    </w:p>
    <w:p w:rsidR="0075570F" w:rsidRPr="00646BFF" w:rsidRDefault="0075570F" w:rsidP="0075570F">
      <w:pPr>
        <w:tabs>
          <w:tab w:val="left" w:pos="720"/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1.Количество </w:t>
      </w:r>
      <w:proofErr w:type="gramStart"/>
      <w:r>
        <w:rPr>
          <w:sz w:val="28"/>
          <w:szCs w:val="28"/>
        </w:rPr>
        <w:t>учащихся  -</w:t>
      </w:r>
      <w:proofErr w:type="gramEnd"/>
      <w:r>
        <w:rPr>
          <w:sz w:val="28"/>
          <w:szCs w:val="28"/>
        </w:rPr>
        <w:t xml:space="preserve"> 157</w:t>
      </w:r>
    </w:p>
    <w:p w:rsidR="0075570F" w:rsidRPr="00646BFF" w:rsidRDefault="0075570F" w:rsidP="0075570F">
      <w:pPr>
        <w:tabs>
          <w:tab w:val="left" w:pos="720"/>
          <w:tab w:val="left" w:pos="2340"/>
        </w:tabs>
        <w:rPr>
          <w:sz w:val="28"/>
          <w:szCs w:val="28"/>
        </w:rPr>
      </w:pPr>
      <w:r w:rsidRPr="00646B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Pr="00646BFF">
        <w:rPr>
          <w:sz w:val="28"/>
          <w:szCs w:val="28"/>
        </w:rPr>
        <w:t xml:space="preserve">2.Количество </w:t>
      </w:r>
      <w:proofErr w:type="gramStart"/>
      <w:r w:rsidRPr="00646BFF">
        <w:rPr>
          <w:sz w:val="28"/>
          <w:szCs w:val="28"/>
        </w:rPr>
        <w:t>уч</w:t>
      </w:r>
      <w:r>
        <w:rPr>
          <w:sz w:val="28"/>
          <w:szCs w:val="28"/>
        </w:rPr>
        <w:t>ителей  -</w:t>
      </w:r>
      <w:proofErr w:type="gramEnd"/>
      <w:r>
        <w:rPr>
          <w:sz w:val="28"/>
          <w:szCs w:val="28"/>
        </w:rPr>
        <w:t xml:space="preserve"> 16</w:t>
      </w:r>
    </w:p>
    <w:p w:rsidR="0075570F" w:rsidRPr="00646BFF" w:rsidRDefault="0075570F" w:rsidP="0075570F">
      <w:pPr>
        <w:tabs>
          <w:tab w:val="left" w:pos="720"/>
        </w:tabs>
        <w:jc w:val="center"/>
        <w:rPr>
          <w:sz w:val="28"/>
          <w:szCs w:val="28"/>
        </w:rPr>
      </w:pPr>
      <w:r w:rsidRPr="00646BFF">
        <w:rPr>
          <w:sz w:val="28"/>
          <w:szCs w:val="28"/>
        </w:rPr>
        <w:t xml:space="preserve">            3.Количество других </w:t>
      </w:r>
      <w:proofErr w:type="gramStart"/>
      <w:r w:rsidRPr="00646BFF">
        <w:rPr>
          <w:sz w:val="28"/>
          <w:szCs w:val="28"/>
        </w:rPr>
        <w:t>читателей  -</w:t>
      </w:r>
      <w:proofErr w:type="gramEnd"/>
      <w:r>
        <w:rPr>
          <w:sz w:val="28"/>
          <w:szCs w:val="28"/>
        </w:rPr>
        <w:t xml:space="preserve"> 0</w:t>
      </w:r>
    </w:p>
    <w:p w:rsidR="0075570F" w:rsidRPr="00646BFF" w:rsidRDefault="0075570F" w:rsidP="0075570F">
      <w:pPr>
        <w:tabs>
          <w:tab w:val="left" w:pos="720"/>
        </w:tabs>
        <w:rPr>
          <w:sz w:val="28"/>
          <w:szCs w:val="28"/>
        </w:rPr>
      </w:pPr>
      <w:r w:rsidRPr="00646B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Pr="00646BFF">
        <w:rPr>
          <w:sz w:val="28"/>
          <w:szCs w:val="28"/>
        </w:rPr>
        <w:t>4.Контрольные показатели:</w:t>
      </w:r>
    </w:p>
    <w:p w:rsidR="0075570F" w:rsidRDefault="0075570F" w:rsidP="0075570F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654"/>
        <w:gridCol w:w="1842"/>
        <w:gridCol w:w="1843"/>
      </w:tblGrid>
      <w:tr w:rsidR="0075570F" w:rsidTr="001A1809"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ind w:right="487"/>
              <w:jc w:val="center"/>
            </w:pPr>
            <w:r>
              <w:rPr>
                <w:rStyle w:val="a6"/>
              </w:rPr>
              <w:t>Основные</w:t>
            </w:r>
          </w:p>
          <w:p w:rsidR="0075570F" w:rsidRDefault="0075570F" w:rsidP="001A1809">
            <w:pPr>
              <w:spacing w:before="100" w:beforeAutospacing="1" w:after="100" w:afterAutospacing="1"/>
              <w:ind w:right="487"/>
              <w:jc w:val="center"/>
            </w:pPr>
            <w:r>
              <w:rPr>
                <w:rStyle w:val="a6"/>
              </w:rPr>
              <w:t>показатели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2020-2021</w:t>
            </w:r>
          </w:p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75570F" w:rsidTr="001A1809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rStyle w:val="a6"/>
              </w:rPr>
              <w:t>Число</w:t>
            </w:r>
          </w:p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rStyle w:val="a6"/>
              </w:rPr>
              <w:t>читателей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1783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1711</w:t>
            </w:r>
          </w:p>
        </w:tc>
      </w:tr>
      <w:tr w:rsidR="0075570F" w:rsidTr="001A1809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rStyle w:val="a6"/>
              </w:rPr>
              <w:t>Число</w:t>
            </w:r>
          </w:p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rStyle w:val="a6"/>
              </w:rPr>
              <w:t>Посещений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1605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1665</w:t>
            </w:r>
          </w:p>
        </w:tc>
      </w:tr>
      <w:tr w:rsidR="0075570F" w:rsidTr="001A1809"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rPr>
                <w:rStyle w:val="a6"/>
              </w:rPr>
              <w:t>Книговыдача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1921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1995</w:t>
            </w:r>
          </w:p>
        </w:tc>
      </w:tr>
      <w:tr w:rsidR="0075570F" w:rsidTr="001A1809"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rStyle w:val="a6"/>
              </w:rPr>
            </w:pPr>
            <w:r>
              <w:rPr>
                <w:rStyle w:val="a6"/>
              </w:rPr>
              <w:t>Посещаемость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75570F" w:rsidTr="001A1809"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rStyle w:val="a6"/>
              </w:rPr>
            </w:pPr>
            <w:r>
              <w:rPr>
                <w:rStyle w:val="a6"/>
              </w:rPr>
              <w:t xml:space="preserve">Читаемость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570F" w:rsidRDefault="0075570F" w:rsidP="001A1809">
            <w:pPr>
              <w:spacing w:before="100" w:beforeAutospacing="1" w:after="100" w:afterAutospacing="1"/>
              <w:jc w:val="center"/>
            </w:pPr>
            <w:r>
              <w:t>1,8</w:t>
            </w:r>
          </w:p>
        </w:tc>
      </w:tr>
    </w:tbl>
    <w:p w:rsidR="0075570F" w:rsidRDefault="0075570F" w:rsidP="0075570F">
      <w:pPr>
        <w:tabs>
          <w:tab w:val="left" w:pos="720"/>
        </w:tabs>
        <w:jc w:val="center"/>
        <w:rPr>
          <w:sz w:val="28"/>
          <w:szCs w:val="28"/>
        </w:rPr>
      </w:pPr>
    </w:p>
    <w:p w:rsidR="0075570F" w:rsidRPr="004D6C75" w:rsidRDefault="0075570F" w:rsidP="0075570F">
      <w:pPr>
        <w:tabs>
          <w:tab w:val="left" w:pos="720"/>
          <w:tab w:val="left" w:pos="36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4D6C75">
        <w:rPr>
          <w:b/>
          <w:sz w:val="28"/>
          <w:szCs w:val="28"/>
        </w:rPr>
        <w:t>Сведения о фонде:</w:t>
      </w:r>
    </w:p>
    <w:p w:rsidR="0075570F" w:rsidRDefault="0075570F" w:rsidP="0075570F">
      <w:pPr>
        <w:tabs>
          <w:tab w:val="left" w:pos="72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1. Учебников- 3941</w:t>
      </w:r>
    </w:p>
    <w:p w:rsidR="0075570F" w:rsidRDefault="0075570F" w:rsidP="0075570F">
      <w:pPr>
        <w:tabs>
          <w:tab w:val="left" w:pos="720"/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2.</w:t>
      </w:r>
      <w:r w:rsidRPr="0075570F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 литературы-4559</w:t>
      </w:r>
    </w:p>
    <w:p w:rsidR="0075570F" w:rsidRDefault="0075570F" w:rsidP="0075570F">
      <w:pPr>
        <w:tabs>
          <w:tab w:val="left" w:pos="720"/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3. Методической литературы –1959</w:t>
      </w:r>
    </w:p>
    <w:p w:rsidR="0075570F" w:rsidRDefault="0075570F" w:rsidP="0075570F">
      <w:pPr>
        <w:ind w:firstLine="708"/>
        <w:rPr>
          <w:sz w:val="28"/>
          <w:szCs w:val="28"/>
        </w:rPr>
      </w:pPr>
    </w:p>
    <w:p w:rsidR="0075570F" w:rsidRDefault="0075570F" w:rsidP="0075570F">
      <w:pPr>
        <w:ind w:firstLine="708"/>
        <w:rPr>
          <w:sz w:val="28"/>
          <w:szCs w:val="28"/>
        </w:rPr>
      </w:pPr>
    </w:p>
    <w:p w:rsidR="0075570F" w:rsidRDefault="0075570F" w:rsidP="00755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Проблема, над которой работает школьная библиотека МКОУ СОШ № 13 имени Ф.И. Фоменко: «Оказание помощи в воспитании и обучении </w:t>
      </w:r>
      <w:proofErr w:type="gramStart"/>
      <w:r>
        <w:rPr>
          <w:sz w:val="28"/>
          <w:szCs w:val="28"/>
        </w:rPr>
        <w:t>учащихся  согласно</w:t>
      </w:r>
      <w:proofErr w:type="gramEnd"/>
      <w:r>
        <w:rPr>
          <w:sz w:val="28"/>
          <w:szCs w:val="28"/>
        </w:rPr>
        <w:t xml:space="preserve"> требованиям  Федеральных  образовательных стандартов второго поколения» </w:t>
      </w:r>
    </w:p>
    <w:p w:rsidR="0075570F" w:rsidRDefault="0075570F" w:rsidP="00755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>направления  работы</w:t>
      </w:r>
      <w:proofErr w:type="gramEnd"/>
      <w:r>
        <w:rPr>
          <w:sz w:val="28"/>
          <w:szCs w:val="28"/>
        </w:rPr>
        <w:t xml:space="preserve"> библиотеки:</w:t>
      </w:r>
    </w:p>
    <w:p w:rsidR="0075570F" w:rsidRDefault="0075570F" w:rsidP="0075570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воспитание.</w:t>
      </w:r>
    </w:p>
    <w:p w:rsidR="0075570F" w:rsidRDefault="0075570F" w:rsidP="0075570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Духовно-нравственное.</w:t>
      </w:r>
    </w:p>
    <w:p w:rsidR="0075570F" w:rsidRDefault="0075570F" w:rsidP="0075570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жизни.</w:t>
      </w:r>
    </w:p>
    <w:p w:rsidR="0075570F" w:rsidRPr="0041616C" w:rsidRDefault="0075570F" w:rsidP="0075570F">
      <w:pPr>
        <w:rPr>
          <w:sz w:val="28"/>
          <w:szCs w:val="28"/>
        </w:rPr>
      </w:pPr>
    </w:p>
    <w:p w:rsidR="0075570F" w:rsidRPr="00470E4E" w:rsidRDefault="0075570F" w:rsidP="0075570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Школьная библиотека </w:t>
      </w:r>
      <w:r w:rsidRPr="00470E4E">
        <w:rPr>
          <w:sz w:val="28"/>
          <w:szCs w:val="28"/>
        </w:rPr>
        <w:t>призвана информировать, образовывать, просвещать читателя, приобщать его к чтению, к книге, содейств</w:t>
      </w:r>
      <w:r>
        <w:rPr>
          <w:sz w:val="28"/>
          <w:szCs w:val="28"/>
        </w:rPr>
        <w:t>уя тем самым</w:t>
      </w:r>
      <w:r w:rsidRPr="00470E4E">
        <w:rPr>
          <w:sz w:val="28"/>
          <w:szCs w:val="28"/>
        </w:rPr>
        <w:t xml:space="preserve"> реализации целей и задач темы, над которой работает образовательное учреждение. </w:t>
      </w:r>
    </w:p>
    <w:p w:rsidR="0075570F" w:rsidRDefault="0075570F" w:rsidP="0075570F">
      <w:pPr>
        <w:pStyle w:val="ab"/>
        <w:spacing w:after="0"/>
        <w:jc w:val="both"/>
        <w:rPr>
          <w:sz w:val="28"/>
        </w:rPr>
      </w:pPr>
      <w:r>
        <w:rPr>
          <w:sz w:val="28"/>
          <w:szCs w:val="28"/>
        </w:rPr>
        <w:tab/>
      </w:r>
      <w:r w:rsidRPr="00F12E13">
        <w:rPr>
          <w:sz w:val="28"/>
          <w:szCs w:val="28"/>
        </w:rPr>
        <w:t>С целью формирования устойчивого интереса к чтению и</w:t>
      </w:r>
      <w:r>
        <w:rPr>
          <w:sz w:val="28"/>
          <w:szCs w:val="28"/>
        </w:rPr>
        <w:t xml:space="preserve"> </w:t>
      </w:r>
      <w:r w:rsidRPr="00F12E13">
        <w:rPr>
          <w:sz w:val="28"/>
          <w:szCs w:val="28"/>
        </w:rPr>
        <w:t>постоянн</w:t>
      </w:r>
      <w:r>
        <w:rPr>
          <w:sz w:val="28"/>
          <w:szCs w:val="28"/>
        </w:rPr>
        <w:t>ой мотивации обращения к книгам,</w:t>
      </w:r>
      <w:r w:rsidRPr="00F12E13">
        <w:rPr>
          <w:sz w:val="28"/>
          <w:szCs w:val="28"/>
        </w:rPr>
        <w:t xml:space="preserve"> были запланированы и проведены </w:t>
      </w:r>
      <w:r>
        <w:rPr>
          <w:sz w:val="28"/>
          <w:szCs w:val="28"/>
        </w:rPr>
        <w:t>различные мероприятия</w:t>
      </w:r>
      <w:r w:rsidRPr="00F12E13">
        <w:rPr>
          <w:sz w:val="28"/>
          <w:szCs w:val="28"/>
        </w:rPr>
        <w:t xml:space="preserve">. </w:t>
      </w:r>
      <w:r w:rsidRPr="00D51637">
        <w:rPr>
          <w:sz w:val="28"/>
        </w:rPr>
        <w:t>Наиболее интересным</w:t>
      </w:r>
      <w:r>
        <w:rPr>
          <w:sz w:val="28"/>
        </w:rPr>
        <w:t>и</w:t>
      </w:r>
      <w:r w:rsidRPr="00D51637">
        <w:rPr>
          <w:sz w:val="28"/>
        </w:rPr>
        <w:t xml:space="preserve"> и удачным</w:t>
      </w:r>
      <w:r>
        <w:rPr>
          <w:sz w:val="28"/>
        </w:rPr>
        <w:t>и мероприятиями</w:t>
      </w:r>
      <w:r w:rsidRPr="00D51637">
        <w:rPr>
          <w:sz w:val="28"/>
        </w:rPr>
        <w:t>, помогающим</w:t>
      </w:r>
      <w:r>
        <w:rPr>
          <w:sz w:val="28"/>
        </w:rPr>
        <w:t>и</w:t>
      </w:r>
      <w:r w:rsidRPr="00D51637">
        <w:rPr>
          <w:sz w:val="28"/>
        </w:rPr>
        <w:t xml:space="preserve"> детям полюбить книгу, узнать о чем-то новом интересном, раскрыть свой потенциал стали</w:t>
      </w:r>
      <w:r>
        <w:rPr>
          <w:sz w:val="28"/>
        </w:rPr>
        <w:t>:</w:t>
      </w:r>
      <w:r w:rsidRPr="00D5163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5570F" w:rsidRDefault="0075570F" w:rsidP="0075570F">
      <w:pPr>
        <w:pStyle w:val="ab"/>
        <w:spacing w:after="0"/>
        <w:jc w:val="both"/>
        <w:rPr>
          <w:sz w:val="28"/>
        </w:rPr>
      </w:pPr>
    </w:p>
    <w:p w:rsidR="0075570F" w:rsidRDefault="0075570F" w:rsidP="0075570F">
      <w:pPr>
        <w:pStyle w:val="ab"/>
        <w:spacing w:after="0"/>
        <w:jc w:val="both"/>
        <w:rPr>
          <w:b/>
          <w:sz w:val="28"/>
          <w:szCs w:val="28"/>
        </w:rPr>
      </w:pPr>
    </w:p>
    <w:p w:rsidR="0075570F" w:rsidRDefault="0075570F" w:rsidP="0075570F">
      <w:r>
        <w:rPr>
          <w:color w:val="000000"/>
          <w:sz w:val="28"/>
          <w:szCs w:val="28"/>
        </w:rPr>
        <w:t xml:space="preserve">День солидарности в борьбе с терроризмом. Эта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Беслане… Информационный </w:t>
      </w:r>
      <w:r>
        <w:rPr>
          <w:color w:val="000000"/>
          <w:sz w:val="28"/>
          <w:szCs w:val="28"/>
        </w:rPr>
        <w:lastRenderedPageBreak/>
        <w:t>стенд. Показ видеофильма, Всемирный день животных — Информационный стенд. Выставка книг авторов (Бианки, Пришвин и др.)</w:t>
      </w:r>
    </w:p>
    <w:p w:rsidR="0075570F" w:rsidRDefault="0075570F" w:rsidP="0075570F">
      <w:pPr>
        <w:pStyle w:val="a5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день школьных библиотек. Учрежден Международной ассоциацией школьных библиотек, отмечается 4-й понедельник октября. Информационный стенд.</w:t>
      </w:r>
    </w:p>
    <w:p w:rsidR="0075570F" w:rsidRDefault="0075570F" w:rsidP="0075570F">
      <w:r>
        <w:rPr>
          <w:color w:val="000000"/>
          <w:sz w:val="28"/>
          <w:szCs w:val="28"/>
        </w:rPr>
        <w:t xml:space="preserve">День Неизвестного солдата в России отмечается с 2014 г, в память о российских и советских воинах, погибших в боевых действиях на территории нашей страны и за ее пределами. В этот день в 1966 г., в ознаменовании 25-й годовщины разгрома немецких войск под Москвой, прах неизвестного солдата был торжественно захоронен у стен Московского Кремля в Александровском саду. Информационный стенд. </w:t>
      </w:r>
    </w:p>
    <w:p w:rsidR="0075570F" w:rsidRDefault="0075570F" w:rsidP="0075570F">
      <w:r>
        <w:rPr>
          <w:color w:val="000000"/>
          <w:sz w:val="28"/>
          <w:szCs w:val="28"/>
        </w:rPr>
        <w:t>День Конституции РФ. 12 декабря1993 года на референдуме была принята Конституции РФ. Полный текст Конституции был опубликован в «Российской газете» 25 декабря 1993года —   Информационный стенд. История появления праздника</w:t>
      </w:r>
    </w:p>
    <w:p w:rsidR="0075570F" w:rsidRDefault="0075570F" w:rsidP="0075570F">
      <w:r>
        <w:rPr>
          <w:color w:val="000000"/>
          <w:sz w:val="28"/>
          <w:szCs w:val="28"/>
        </w:rPr>
        <w:t xml:space="preserve">Международный день кино. 28 декабря 1895 г в Париже в «Гранд-кафе» на бульваре Капуцинов прошел первый сеанс синематографа братьев Люмьер. Информационный стенд. </w:t>
      </w:r>
    </w:p>
    <w:p w:rsidR="0075570F" w:rsidRPr="00E00FE5" w:rsidRDefault="0075570F" w:rsidP="007557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Международный день родного языка. Провозглашен Генеральной конвенцией ЮНЕСКО 17 ноября 1999 года, отмечается каждый год с февраля 2000 с целью содействия языковому и культурному разнообразию. Информационный стенд. Библиотека принимала активное участие в работе месячника оборонно-массовой и патриотической работы, который проходил с 23 января по 23 февраля. Были проведены следующие мероприятия посвященные блокадному </w:t>
      </w:r>
      <w:proofErr w:type="gramStart"/>
      <w:r>
        <w:rPr>
          <w:color w:val="000000"/>
          <w:sz w:val="28"/>
          <w:szCs w:val="28"/>
        </w:rPr>
        <w:t>Ленинграду  акция</w:t>
      </w:r>
      <w:proofErr w:type="gramEnd"/>
      <w:r>
        <w:rPr>
          <w:color w:val="000000"/>
          <w:sz w:val="28"/>
          <w:szCs w:val="28"/>
        </w:rPr>
        <w:t xml:space="preserve"> «Блокадный хлеб», тематические классные часы «Дети герои Великой Отечественной войны», 2юнные герои войны», виртуальная выставка «Так начиналась война»,, обзор книг «Письмо с фронта», Акции «Солдатская каша», «Свеча памяти», «Окно Победы», онлайн акция «Читаем вместе, читаем дома».</w:t>
      </w:r>
    </w:p>
    <w:p w:rsidR="0075570F" w:rsidRPr="00D30D34" w:rsidRDefault="0075570F" w:rsidP="0075570F">
      <w:pPr>
        <w:pStyle w:val="ab"/>
        <w:numPr>
          <w:ilvl w:val="0"/>
          <w:numId w:val="5"/>
        </w:numPr>
        <w:spacing w:after="0"/>
        <w:ind w:left="42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Книжные выставки </w:t>
      </w:r>
      <w:r w:rsidRPr="00D30D34">
        <w:rPr>
          <w:sz w:val="28"/>
          <w:szCs w:val="28"/>
        </w:rPr>
        <w:t>согласно плану</w:t>
      </w:r>
      <w:r>
        <w:rPr>
          <w:sz w:val="28"/>
          <w:szCs w:val="28"/>
        </w:rPr>
        <w:t xml:space="preserve"> работы школьной библиотеки – 17</w:t>
      </w:r>
      <w:r w:rsidRPr="00D30D34">
        <w:rPr>
          <w:sz w:val="28"/>
          <w:szCs w:val="28"/>
        </w:rPr>
        <w:t xml:space="preserve"> книжных выставок.</w:t>
      </w:r>
    </w:p>
    <w:p w:rsidR="0075570F" w:rsidRPr="005B5811" w:rsidRDefault="0075570F" w:rsidP="0075570F">
      <w:pPr>
        <w:pStyle w:val="ab"/>
        <w:numPr>
          <w:ilvl w:val="0"/>
          <w:numId w:val="5"/>
        </w:numPr>
        <w:spacing w:after="0"/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Библиотечные уроки </w:t>
      </w:r>
      <w:r w:rsidRPr="00D30D34">
        <w:rPr>
          <w:sz w:val="28"/>
          <w:szCs w:val="28"/>
        </w:rPr>
        <w:t>согласно плану проведения библиотечных уроков -9 библиотечных уроков</w:t>
      </w:r>
      <w:r>
        <w:rPr>
          <w:b/>
          <w:sz w:val="28"/>
          <w:szCs w:val="28"/>
        </w:rPr>
        <w:t>.</w:t>
      </w:r>
    </w:p>
    <w:p w:rsidR="0075570F" w:rsidRPr="001F5290" w:rsidRDefault="0075570F" w:rsidP="007557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4A1438">
        <w:rPr>
          <w:color w:val="000000"/>
          <w:sz w:val="28"/>
          <w:szCs w:val="28"/>
        </w:rPr>
        <w:t>Все мероприятия, проводимые б</w:t>
      </w:r>
      <w:r>
        <w:rPr>
          <w:color w:val="000000"/>
          <w:sz w:val="28"/>
          <w:szCs w:val="28"/>
        </w:rPr>
        <w:t>иблиотекой,</w:t>
      </w:r>
      <w:r w:rsidRPr="004A1438">
        <w:rPr>
          <w:color w:val="000000"/>
          <w:sz w:val="28"/>
          <w:szCs w:val="28"/>
        </w:rPr>
        <w:t xml:space="preserve"> нацелены на литературное, историческое, толерантное просвещение школьников, </w:t>
      </w:r>
      <w:proofErr w:type="gramStart"/>
      <w:r w:rsidRPr="004A1438">
        <w:rPr>
          <w:color w:val="000000"/>
          <w:sz w:val="28"/>
          <w:szCs w:val="28"/>
        </w:rPr>
        <w:t>содействующее  патриотическому</w:t>
      </w:r>
      <w:proofErr w:type="gramEnd"/>
      <w:r w:rsidRPr="004A1438">
        <w:rPr>
          <w:color w:val="000000"/>
          <w:sz w:val="28"/>
          <w:szCs w:val="28"/>
        </w:rPr>
        <w:t>, нравственному, эстетическому воспитанию и  формирующее  привлекательный образ книги и чтения.</w:t>
      </w:r>
      <w:r>
        <w:rPr>
          <w:sz w:val="28"/>
        </w:rPr>
        <w:t xml:space="preserve">       </w:t>
      </w:r>
      <w:r w:rsidRPr="00A62253">
        <w:rPr>
          <w:sz w:val="28"/>
          <w:szCs w:val="28"/>
        </w:rPr>
        <w:t xml:space="preserve"> </w:t>
      </w:r>
    </w:p>
    <w:p w:rsidR="0075570F" w:rsidRPr="001F5290" w:rsidRDefault="0075570F" w:rsidP="007557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Библиотека принимает участие в проектной деятельности. При подготовке к </w:t>
      </w:r>
      <w:proofErr w:type="gramStart"/>
      <w:r>
        <w:rPr>
          <w:sz w:val="28"/>
          <w:szCs w:val="28"/>
        </w:rPr>
        <w:t xml:space="preserve">проектам </w:t>
      </w:r>
      <w:r w:rsidRPr="00DB4AA1">
        <w:rPr>
          <w:sz w:val="28"/>
          <w:szCs w:val="28"/>
        </w:rPr>
        <w:t xml:space="preserve"> учащиеся</w:t>
      </w:r>
      <w:proofErr w:type="gramEnd"/>
      <w:r w:rsidRPr="00DB4AA1">
        <w:rPr>
          <w:sz w:val="28"/>
          <w:szCs w:val="28"/>
        </w:rPr>
        <w:t>:</w:t>
      </w:r>
    </w:p>
    <w:p w:rsidR="0075570F" w:rsidRPr="00DB4AA1" w:rsidRDefault="0075570F" w:rsidP="00755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получают </w:t>
      </w:r>
      <w:r w:rsidRPr="00DB4AA1">
        <w:rPr>
          <w:sz w:val="28"/>
          <w:szCs w:val="28"/>
        </w:rPr>
        <w:t>знания из различных источников</w:t>
      </w:r>
      <w:r>
        <w:rPr>
          <w:sz w:val="28"/>
          <w:szCs w:val="28"/>
        </w:rPr>
        <w:t>;</w:t>
      </w:r>
    </w:p>
    <w:p w:rsidR="0075570F" w:rsidRPr="00DB4AA1" w:rsidRDefault="0075570F" w:rsidP="0075570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приобретают</w:t>
      </w:r>
      <w:r w:rsidRPr="00DB4AA1">
        <w:rPr>
          <w:sz w:val="28"/>
          <w:szCs w:val="28"/>
        </w:rPr>
        <w:t xml:space="preserve"> коммуникативные навыки благодаря работе в группах</w:t>
      </w:r>
      <w:r>
        <w:rPr>
          <w:sz w:val="28"/>
          <w:szCs w:val="28"/>
        </w:rPr>
        <w:t>;</w:t>
      </w:r>
    </w:p>
    <w:p w:rsidR="0075570F" w:rsidRPr="004E79DF" w:rsidRDefault="0075570F" w:rsidP="0075570F">
      <w:r>
        <w:rPr>
          <w:sz w:val="28"/>
          <w:szCs w:val="28"/>
        </w:rPr>
        <w:t>- развивают</w:t>
      </w:r>
      <w:r w:rsidRPr="00DB4AA1">
        <w:rPr>
          <w:sz w:val="28"/>
          <w:szCs w:val="28"/>
        </w:rPr>
        <w:t xml:space="preserve"> у себя исследовательские навыки (выявляли проблему, собирали информацию, наблюдали, анализировали, обобщали).</w:t>
      </w:r>
      <w:r w:rsidRPr="00082F85">
        <w:t xml:space="preserve"> </w:t>
      </w:r>
      <w:r w:rsidRPr="00755DB9">
        <w:rPr>
          <w:sz w:val="28"/>
          <w:szCs w:val="28"/>
        </w:rPr>
        <w:t xml:space="preserve"> 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Задачи библиотеки.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Основные функции библиотеки: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- Образовательная – поддерживать и обеспечивать образовательные цели.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>- Информационная – предоставлять возможность использовать информацию вне зависимости от её вида.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1173">
        <w:rPr>
          <w:rFonts w:ascii="Times New Roman" w:hAnsi="Times New Roman" w:cs="Times New Roman"/>
          <w:sz w:val="28"/>
          <w:szCs w:val="28"/>
        </w:rPr>
        <w:t xml:space="preserve"> 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95B40" w:rsidRDefault="00495B40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95B40" w:rsidRPr="00141173" w:rsidRDefault="00495B40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41173" w:rsidRPr="00141173" w:rsidRDefault="00141173" w:rsidP="00141173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1173">
        <w:rPr>
          <w:rFonts w:ascii="Times New Roman" w:hAnsi="Times New Roman" w:cs="Times New Roman"/>
          <w:b/>
          <w:sz w:val="28"/>
          <w:szCs w:val="28"/>
        </w:rPr>
        <w:t>2. Формирование фонда библиотеки.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1"/>
        <w:gridCol w:w="1204"/>
        <w:gridCol w:w="6691"/>
        <w:gridCol w:w="1266"/>
        <w:gridCol w:w="1065"/>
        <w:gridCol w:w="2042"/>
        <w:gridCol w:w="1902"/>
      </w:tblGrid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Отчёт о проведении</w:t>
            </w: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.Работа с фондом учебной литературы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495B40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Диагностика обеспеченности учащихся школы учебниками и учебными пособиями на 2020-2021 учебный год.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 xml:space="preserve">а) работа с каталогами, тематическими планами издательств, перечнями учебников и учебных </w:t>
            </w:r>
            <w:r w:rsidRPr="0014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пособий, рекомендованных и допущенных Министерством образования и науки;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в) формирование общешкольного заказа на учебники на 2020-2021 учебный год;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г) осуществление контроля за выполнением сделанного заказа;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е) приём и обработка поступивших учебников: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учёта;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составление списков класса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(по графику)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Май, август-сентябрь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Выставка учебников 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Списание с учётом ветхости и смены программ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.Работа с фондом художественной литературы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в библиотеке: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к художественной литературе;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к фонду учебников (по требованию)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Создание и поддержка комфортных условий для читателей.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Периодическое списание фонда с учётом ветхости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Комплектование фонда периодики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1</w:t>
            </w:r>
            <w:r w:rsidRPr="0014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</w:t>
            </w: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читателями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сдаче книг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педагогическим коллективом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На педсоветах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обучающимися школы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согласно расписанию работы библиотеки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Массовая работа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rPr>
          <w:trHeight w:val="983"/>
        </w:trPr>
        <w:tc>
          <w:tcPr>
            <w:tcW w:w="991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 п</w:t>
            </w:r>
            <w:r w:rsidR="00495B40">
              <w:rPr>
                <w:rFonts w:ascii="Times New Roman" w:hAnsi="Times New Roman" w:cs="Times New Roman"/>
                <w:sz w:val="28"/>
                <w:szCs w:val="28"/>
              </w:rPr>
              <w:t>исателей и знаменательным датам</w:t>
            </w:r>
          </w:p>
          <w:p w:rsidR="00141173" w:rsidRPr="00141173" w:rsidRDefault="00495B40" w:rsidP="0049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МКОУ РИМЦ Павловский район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Реклама библиотеки.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библиотеки: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 xml:space="preserve">    - устная – во время перемен, на классных часах, классных собраниях;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 xml:space="preserve">    - наглядная – информационные объявления о выставках и мероприятиях, проводимых библиотекой;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 xml:space="preserve">     - Оформление выставки одного автора: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«Календарь знаменательных и памятных дат».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По мере требования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. Профессиональное развитие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Участие  семинарах городского методического объединения.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в школе»;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приказов, писем, инструкций о библиотечном деле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141173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 другими библиотеками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73" w:rsidRPr="00141173" w:rsidTr="00141173">
        <w:tc>
          <w:tcPr>
            <w:tcW w:w="9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Сотрудничество по обслуживанию школьников с библиотеками: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библиотека школы №2;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-библиотека школы №8;</w:t>
            </w:r>
          </w:p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- ЦДБ</w:t>
            </w:r>
          </w:p>
        </w:tc>
        <w:tc>
          <w:tcPr>
            <w:tcW w:w="1266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17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требования</w:t>
            </w:r>
          </w:p>
        </w:tc>
        <w:tc>
          <w:tcPr>
            <w:tcW w:w="1902" w:type="dxa"/>
          </w:tcPr>
          <w:p w:rsidR="00141173" w:rsidRPr="00141173" w:rsidRDefault="00141173" w:rsidP="0014117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173" w:rsidRPr="00141173" w:rsidRDefault="00141173" w:rsidP="00141173">
      <w:pPr>
        <w:spacing w:after="200" w:line="276" w:lineRule="auto"/>
        <w:rPr>
          <w:sz w:val="28"/>
          <w:szCs w:val="28"/>
        </w:rPr>
      </w:pPr>
    </w:p>
    <w:p w:rsidR="00141173" w:rsidRPr="00141173" w:rsidRDefault="00141173" w:rsidP="00141173">
      <w:pPr>
        <w:spacing w:after="200" w:line="276" w:lineRule="auto"/>
        <w:rPr>
          <w:sz w:val="28"/>
          <w:szCs w:val="28"/>
        </w:rPr>
      </w:pPr>
    </w:p>
    <w:p w:rsidR="001304E5" w:rsidRDefault="001304E5"/>
    <w:sectPr w:rsidR="001304E5" w:rsidSect="00495B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F2B"/>
    <w:multiLevelType w:val="hybridMultilevel"/>
    <w:tmpl w:val="26944800"/>
    <w:lvl w:ilvl="0" w:tplc="F2101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173B"/>
    <w:multiLevelType w:val="hybridMultilevel"/>
    <w:tmpl w:val="ABFA0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F615E"/>
    <w:multiLevelType w:val="hybridMultilevel"/>
    <w:tmpl w:val="3118D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187C"/>
    <w:multiLevelType w:val="hybridMultilevel"/>
    <w:tmpl w:val="E984F63E"/>
    <w:lvl w:ilvl="0" w:tplc="128AB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29F9"/>
    <w:multiLevelType w:val="hybridMultilevel"/>
    <w:tmpl w:val="C00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3"/>
    <w:rsid w:val="00094301"/>
    <w:rsid w:val="00127B12"/>
    <w:rsid w:val="001304E5"/>
    <w:rsid w:val="00141173"/>
    <w:rsid w:val="00153B92"/>
    <w:rsid w:val="0020094D"/>
    <w:rsid w:val="002237D5"/>
    <w:rsid w:val="002C1A42"/>
    <w:rsid w:val="002E6BB0"/>
    <w:rsid w:val="00331E4D"/>
    <w:rsid w:val="003D29A6"/>
    <w:rsid w:val="00495B40"/>
    <w:rsid w:val="004B400B"/>
    <w:rsid w:val="0075570F"/>
    <w:rsid w:val="0085704A"/>
    <w:rsid w:val="00A868C8"/>
    <w:rsid w:val="00B229F7"/>
    <w:rsid w:val="00E31721"/>
    <w:rsid w:val="00EC1DB0"/>
    <w:rsid w:val="00F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DA27"/>
  <w15:chartTrackingRefBased/>
  <w15:docId w15:val="{E8F9DDD9-26FC-454B-8859-47F264B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1173"/>
  </w:style>
  <w:style w:type="paragraph" w:styleId="a3">
    <w:name w:val="List Paragraph"/>
    <w:basedOn w:val="a"/>
    <w:uiPriority w:val="34"/>
    <w:qFormat/>
    <w:rsid w:val="0014117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4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4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1173"/>
    <w:rPr>
      <w:b/>
      <w:bCs/>
    </w:rPr>
  </w:style>
  <w:style w:type="paragraph" w:styleId="a7">
    <w:name w:val="header"/>
    <w:basedOn w:val="a"/>
    <w:link w:val="a8"/>
    <w:uiPriority w:val="99"/>
    <w:unhideWhenUsed/>
    <w:rsid w:val="0014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173"/>
  </w:style>
  <w:style w:type="paragraph" w:styleId="a9">
    <w:name w:val="footer"/>
    <w:basedOn w:val="a"/>
    <w:link w:val="aa"/>
    <w:uiPriority w:val="99"/>
    <w:unhideWhenUsed/>
    <w:rsid w:val="0014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173"/>
  </w:style>
  <w:style w:type="paragraph" w:styleId="ab">
    <w:name w:val="Body Text"/>
    <w:basedOn w:val="a"/>
    <w:link w:val="ac"/>
    <w:rsid w:val="0075570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557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dc:description/>
  <cp:lastModifiedBy>RePack by Diakov</cp:lastModifiedBy>
  <cp:revision>8</cp:revision>
  <dcterms:created xsi:type="dcterms:W3CDTF">2021-06-09T20:53:00Z</dcterms:created>
  <dcterms:modified xsi:type="dcterms:W3CDTF">2022-06-14T07:09:00Z</dcterms:modified>
</cp:coreProperties>
</file>