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F9BD" w14:textId="77777777" w:rsidR="0068236C" w:rsidRPr="0068236C" w:rsidRDefault="0068236C" w:rsidP="0068236C">
      <w:pPr>
        <w:shd w:val="clear" w:color="auto" w:fill="FFFFFF"/>
        <w:spacing w:after="100" w:afterAutospacing="1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</w:pPr>
      <w:bookmarkStart w:id="0" w:name="_GoBack"/>
      <w:bookmarkEnd w:id="0"/>
      <w:r w:rsidRPr="0068236C"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  <w:t>О СРОКАХ, МЕСТАХ И ПОРЯДКЕ ПОДАЧИ И РАССМОТРЕНИЯ АПЕЛЛЯЦИЙ</w:t>
      </w:r>
    </w:p>
    <w:p w14:paraId="37D098E2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14:paraId="5885EC0B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68236C">
          <w:rPr>
            <w:rFonts w:ascii="Arial" w:eastAsia="Times New Roman" w:hAnsi="Arial" w:cs="Arial"/>
            <w:color w:val="3275A8"/>
            <w:sz w:val="24"/>
            <w:szCs w:val="24"/>
            <w:u w:val="single"/>
            <w:lang w:eastAsia="ru-RU"/>
          </w:rPr>
          <w:t>http://gas.kubannet.ru/</w:t>
        </w:r>
      </w:hyperlink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 в открытом доступе.</w:t>
      </w:r>
    </w:p>
    <w:p w14:paraId="24BD48F3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Рассмотрение апелляций осуществляет апелляционная комиссия (п.36).</w:t>
      </w:r>
    </w:p>
    <w:p w14:paraId="0CA45BC9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Апелляционная комиссия принимает в письменной форме апелляции участников ГИА:</w:t>
      </w:r>
    </w:p>
    <w:p w14:paraId="1861E8C4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14:paraId="7F2B6A43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14:paraId="3F987BFC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14:paraId="57D93EE6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14:paraId="444EDAEA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 (п. 85).</w:t>
      </w:r>
    </w:p>
    <w:p w14:paraId="2031294A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14:paraId="1909AD0A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По результатам рассмотрения апелляции о нарушении Порядка апелляционная комиссия принимает одно из решений:</w:t>
      </w:r>
    </w:p>
    <w:p w14:paraId="2340121B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об отклонении апелляции;</w:t>
      </w:r>
    </w:p>
    <w:p w14:paraId="6C03557F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14:paraId="56F3D21C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14:paraId="62D06871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lastRenderedPageBreak/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</w:p>
    <w:p w14:paraId="7043A2F2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14:paraId="6DCF0D54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об отклонении апелляции;</w:t>
      </w:r>
    </w:p>
    <w:p w14:paraId="3B3F539D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- об удовлетворении апелляции.</w:t>
      </w:r>
    </w:p>
    <w:p w14:paraId="077790DF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 </w:t>
      </w:r>
    </w:p>
    <w:p w14:paraId="10FD5E88" w14:textId="77777777" w:rsidR="0068236C" w:rsidRPr="0068236C" w:rsidRDefault="0068236C" w:rsidP="0068236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303133"/>
          <w:sz w:val="22"/>
          <w:lang w:eastAsia="ru-RU"/>
        </w:rPr>
      </w:pPr>
      <w:r w:rsidRPr="0068236C">
        <w:rPr>
          <w:rFonts w:ascii="Arial" w:eastAsia="Times New Roman" w:hAnsi="Arial" w:cs="Arial"/>
          <w:color w:val="303133"/>
          <w:sz w:val="22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14:paraId="2EC0B67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C"/>
    <w:rsid w:val="0046324F"/>
    <w:rsid w:val="0068236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C05C"/>
  <w15:chartTrackingRefBased/>
  <w15:docId w15:val="{BF44A3AE-B79C-4DC9-BD05-1B3760DB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8236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23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23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2025-05-23T07:31:00Z</dcterms:created>
  <dcterms:modified xsi:type="dcterms:W3CDTF">2025-05-23T07:32:00Z</dcterms:modified>
</cp:coreProperties>
</file>