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240" w:lineRule="auto"/>
        <w:ind w:left="49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keepNext w:val="0"/>
        <w:keepLines w:val="0"/>
        <w:pageBreakBefore w:val="0"/>
        <w:widowControl w:val="1"/>
        <w:spacing w:after="0" w:line="240" w:lineRule="auto"/>
        <w:ind w:left="49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письму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экономики Краснодарского края</w:t>
      </w:r>
    </w:p>
    <w:p w14:paraId="05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06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07000000">
      <w:pPr>
        <w:keepNext w:val="0"/>
        <w:keepLines w:val="0"/>
        <w:pageBreakBefore w:val="0"/>
        <w:widowControl w:val="1"/>
        <w:spacing w:after="0" w:line="36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Южного ГУ Банка России</w:t>
      </w:r>
      <w:r>
        <w:rPr>
          <w:rFonts w:ascii="Times New Roman" w:hAnsi="Times New Roman"/>
          <w:sz w:val="28"/>
        </w:rPr>
        <w:t xml:space="preserve">: </w:t>
      </w:r>
      <w:bookmarkStart w:id="1" w:name="_GoBack"/>
      <w:bookmarkEnd w:id="1"/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результатах маркетинговой акции АО «НСПК» при оплате проезда в общественном транспорте на территории Краснодарского края</w:t>
      </w:r>
    </w:p>
    <w:p w14:paraId="08000000">
      <w:pPr>
        <w:widowControl w:val="1"/>
        <w:tabs>
          <w:tab w:leader="none" w:pos="1152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популяризации безналичной оплаты проезда в период с сентября по декабрь 2025 года на территории Краснодарского края (за исключением г. Сочи) АО «НСПК» проводилась маркетинговая акция при оплате проезда мобильным устройством с «привязанной» картой ПС «Мир». Скидка, предоставляемая в рамках акции, составляла 8 рублей.</w:t>
      </w:r>
    </w:p>
    <w:p w14:paraId="0A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</w:t>
      </w:r>
    </w:p>
    <w:p w14:paraId="0B000000">
      <w:pPr>
        <w:widowControl w:val="1"/>
        <w:tabs>
          <w:tab w:leader="none" w:pos="1152" w:val="left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операций по оплате проезда в общественном транспорте, совершенных в рамках акции АО «НСПК»</w:t>
      </w:r>
    </w:p>
    <w:p w14:paraId="0C000000">
      <w:pPr>
        <w:widowControl w:val="1"/>
        <w:tabs>
          <w:tab w:leader="none" w:pos="1152" w:val="left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22"/>
        <w:gridCol w:w="1330"/>
        <w:gridCol w:w="1326"/>
        <w:gridCol w:w="1323"/>
        <w:gridCol w:w="1326"/>
        <w:gridCol w:w="1325"/>
      </w:tblGrid>
      <w:tr>
        <w:tc>
          <w:tcPr>
            <w:tcW w:type="dxa" w:w="2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проведения акции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 г.</w:t>
            </w: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 г.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2025 г.</w:t>
            </w: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2025 г.</w:t>
            </w:r>
          </w:p>
        </w:tc>
        <w:tc>
          <w:tcPr>
            <w:tcW w:type="dxa" w:w="1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>
        <w:tc>
          <w:tcPr>
            <w:tcW w:type="dxa" w:w="2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операций, млн. ед.</w:t>
            </w:r>
          </w:p>
        </w:tc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1,90</w:t>
            </w: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1,27</w:t>
            </w:r>
          </w:p>
        </w:tc>
        <w:tc>
          <w:tcPr>
            <w:tcW w:type="dxa" w:w="1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1,62</w:t>
            </w: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1,77</w:t>
            </w:r>
          </w:p>
        </w:tc>
        <w:tc>
          <w:tcPr>
            <w:tcW w:type="dxa" w:w="1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tabs>
                <w:tab w:leader="none" w:pos="115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6,56</w:t>
            </w:r>
          </w:p>
        </w:tc>
      </w:tr>
    </w:tbl>
    <w:p w14:paraId="19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проведенной акции совершено 6,6 млн. транзакций</w:t>
      </w:r>
      <w:r>
        <w:rPr>
          <w:rStyle w:val="Style_3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при оплате проезда в общественном транспорте, что составляет 73% от плановых показателей АО «НСПК»</w:t>
      </w:r>
      <w:r>
        <w:rPr>
          <w:rStyle w:val="Style_3_ch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. Сумма денежных средств, сэкономленная пассажирами в рамках данной акции, составила 52,5 млн. руб.</w:t>
      </w:r>
    </w:p>
    <w:p w14:paraId="1B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основной причиной недостижения планового количества оплат проезда в общественном транспорте, предусмотренных </w:t>
      </w:r>
    </w:p>
    <w:p w14:paraId="1C000000">
      <w:pPr>
        <w:sectPr>
          <w:pgSz w:h="16838" w:orient="portrait" w:w="11906"/>
          <w:pgMar w:bottom="1134" w:footer="708" w:gutter="0" w:header="567" w:left="1701" w:right="850" w:top="1134"/>
        </w:sectPr>
      </w:pPr>
    </w:p>
    <w:p w14:paraId="1D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соответствующей акцией, является регулярное</w:t>
      </w:r>
      <w:r>
        <w:rPr>
          <w:rStyle w:val="Style_3_ch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 xml:space="preserve"> отключение в период проведения акции мобильного интернета в рамках обеспечения мер безопасности (связанными с угрозой атак БПЛА) и как следствие недоступность оперативного (утром, перед выходом транспортного средства на маршрут) обновления реестра токенов на платежных устройствах. По результатам оперативного мониторинга количества оплат, совершенных в рамках маркетинговой акции в октябре 2025 года (снижение на 33,2% к сентябрю 2025 года), на базе Южного ГУ Банка России проведена рабочая встреча по выработке мер, направленных на урегулирование сложившейся ситуации.</w:t>
      </w:r>
    </w:p>
    <w:p w14:paraId="1E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рабочей встречи ООО «Электронный билет Кубани» принято решение об изменении (доработке) технологии обновления реестра токенов. Фактически указанные доработки (изменена схема и время загрузки данных реестров) завершены в конце ноября 2025 года, что не позволило в полной мере АО «НСПК» достичь запланированных показателей.</w:t>
      </w:r>
    </w:p>
    <w:sectPr>
      <w:headerReference r:id="rId1" w:type="default"/>
      <w:pgSz w:h="16838" w:orient="portrait" w:w="11906"/>
      <w:pgMar w:bottom="1134" w:footer="708" w:gutter="0" w:header="567" w:left="170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24000000">
      <w:pPr>
        <w:widowControl w:val="1"/>
        <w:spacing w:line="240" w:lineRule="auto"/>
        <w:ind/>
      </w:pPr>
      <w:r>
        <w:separator/>
      </w:r>
    </w:p>
  </w:endnote>
  <w:endnote w:id="0" w:type="continuationSeparator">
    <w:p w14:paraId="25000000">
      <w:pPr>
        <w:widowControl w:val="1"/>
        <w:spacing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1F000000">
      <w:pPr>
        <w:widowControl w:val="1"/>
        <w:spacing w:after="0" w:before="0" w:line="259" w:lineRule="auto"/>
        <w:ind/>
      </w:pPr>
      <w:r>
        <w:separator/>
      </w:r>
    </w:p>
  </w:footnote>
  <w:footnote w:id="0" w:type="continuationSeparator">
    <w:p w14:paraId="20000000">
      <w:pPr>
        <w:widowControl w:val="1"/>
        <w:spacing w:after="0" w:before="0" w:line="259" w:lineRule="auto"/>
        <w:ind/>
      </w:pPr>
      <w:r>
        <w:continuationSeparator/>
      </w:r>
    </w:p>
  </w:footnote>
  <w:footnote w:id="1">
    <w:p w14:paraId="21000000">
      <w:pPr>
        <w:pStyle w:val="Style_16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Количество транзакций с использованием мобильного телефона с «привязанной» картой ПС «Мир», совершенных в период маркетинговой акции на 37,5% превышает количество аналогичных транзакций, совершенных в сентябре – декабре 2024 года.</w:t>
      </w:r>
    </w:p>
  </w:footnote>
  <w:footnote w:id="2">
    <w:p w14:paraId="22000000">
      <w:pPr>
        <w:pStyle w:val="Style_16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Плановые показатели АО «НСПК» при проведении акции с сентября по декабрь 2026 года составляли 9 млн. транзакций.</w:t>
      </w:r>
    </w:p>
  </w:footnote>
  <w:footnote w:id="3">
    <w:p w14:paraId="23000000">
      <w:pPr>
        <w:pStyle w:val="Style_16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данным оперативного штаба Краснодарского края (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opershtab</w:t>
      </w:r>
      <w:r>
        <w:rPr>
          <w:rFonts w:ascii="Times New Roman" w:hAnsi="Times New Roman"/>
        </w:rPr>
        <w:t>23) в период сентябрь – декабрь 2025 года в регионе более 90 раз вводился режим «Беспилотная опасность».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59" w:lineRule="auto"/>
      <w:ind/>
    </w:pPr>
    <w:rPr>
      <w:rFonts w:asciiTheme="minorAscii" w:hAnsiTheme="minorHAnsi"/>
      <w:sz w:val="22"/>
    </w:rPr>
  </w:style>
  <w:style w:default="1" w:styleId="Style_4_ch" w:type="character">
    <w:name w:val="Normal"/>
    <w:link w:val="Style_4"/>
    <w:rPr>
      <w:rFonts w:asciiTheme="minorAscii" w:hAnsiTheme="minorHAnsi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4_ch"/>
    <w:link w:val="Style_9"/>
    <w:rPr>
      <w:rFonts w:ascii="Segoe UI" w:hAnsi="Segoe UI"/>
      <w:sz w:val="1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basedOn w:val="Style_4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Footnote"/>
    <w:basedOn w:val="Style_4_ch"/>
    <w:link w:val="Style_16"/>
    <w:rPr>
      <w:sz w:val="20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footer"/>
    <w:basedOn w:val="Style_4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4_ch"/>
    <w:link w:val="Style_19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footnote reference"/>
    <w:basedOn w:val="Style_23"/>
    <w:link w:val="Style_3_ch"/>
    <w:rPr>
      <w:vertAlign w:val="superscript"/>
    </w:rPr>
  </w:style>
  <w:style w:styleId="Style_3_ch" w:type="character">
    <w:name w:val="footnote reference"/>
    <w:basedOn w:val="Style_23_ch"/>
    <w:link w:val="Style_3"/>
    <w:rPr>
      <w:vertAlign w:val="superscript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footnotes.xml" Type="http://schemas.openxmlformats.org/officeDocument/2006/relationships/foot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9" Target="endnotes.xml" Type="http://schemas.openxmlformats.org/officeDocument/2006/relationships/endnotes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2026-02-04T20:23:00Z</dcterms:created>
  <dcterms:modified xsi:type="dcterms:W3CDTF">2026-04-08T15:00:16Z</dcterms:modified>
</cp:coreProperties>
</file>