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1152" w:val="left"/>
        </w:tabs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</w:t>
      </w:r>
    </w:p>
    <w:p w14:paraId="06000000">
      <w:pPr>
        <w:widowControl w:val="1"/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письму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экономики Краснодарского края</w:t>
      </w:r>
    </w:p>
    <w:p w14:paraId="07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Южного ГУ Банка России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О результатах маркетинговой акции </w:t>
      </w:r>
    </w:p>
    <w:p w14:paraId="0A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0" w:left="0"/>
        <w:jc w:val="center"/>
        <w:rPr>
          <w:rStyle w:val="Style_3_ch"/>
        </w:rPr>
      </w:pPr>
      <w:r>
        <w:rPr>
          <w:rFonts w:ascii="Times New Roman" w:hAnsi="Times New Roman"/>
          <w:sz w:val="28"/>
        </w:rPr>
        <w:t xml:space="preserve">АО «НСПК» </w:t>
      </w:r>
      <w:r>
        <w:rPr>
          <w:rStyle w:val="Style_3_ch"/>
        </w:rPr>
        <w:t xml:space="preserve">при оплате услуг жилищно-коммунальных хозяйства </w:t>
      </w:r>
    </w:p>
    <w:p w14:paraId="0B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Краснодарского края</w:t>
      </w:r>
    </w:p>
    <w:p w14:paraId="0C000000">
      <w:pPr>
        <w:keepNext w:val="0"/>
        <w:keepLines w:val="0"/>
        <w:pageBreakBefore w:val="0"/>
        <w:widowControl w:val="1"/>
        <w:tabs>
          <w:tab w:leader="none" w:pos="1152" w:val="left"/>
        </w:tabs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keepNext w:val="0"/>
        <w:keepLines w:val="0"/>
        <w:pageBreakBefore w:val="0"/>
        <w:widowControl w:val="1"/>
        <w:spacing w:after="0" w:line="360" w:lineRule="auto"/>
        <w:ind w:firstLine="709"/>
        <w:jc w:val="both"/>
        <w:rPr>
          <w:rStyle w:val="Style_3_ch"/>
        </w:rPr>
      </w:pPr>
      <w:r>
        <w:rPr>
          <w:rStyle w:val="Style_3_ch"/>
        </w:rPr>
        <w:t>В целях популяризации оплаты услуг с использованием сервиса системы быстрых платежей в сфере ЖКХ Южным ГУ Банка России совместно с Министерством экономики Краснодарского края и АО «НСПК» на территории Краснодарского края реализована</w:t>
      </w:r>
      <w:r>
        <w:rPr>
          <w:rStyle w:val="Style_4_ch"/>
          <w:rFonts w:ascii="Times New Roman" w:hAnsi="Times New Roman"/>
          <w:sz w:val="28"/>
        </w:rPr>
        <w:footnoteReference w:id="1"/>
      </w:r>
      <w:r>
        <w:rPr>
          <w:rStyle w:val="Style_3_ch"/>
        </w:rPr>
        <w:t xml:space="preserve"> маркетинговая акция по оплате услуг, предоставляемых энергосбытовой компанией АО «НЭСК»</w:t>
      </w:r>
      <w:r>
        <w:rPr>
          <w:rStyle w:val="Style_4_ch"/>
          <w:rFonts w:ascii="Times New Roman" w:hAnsi="Times New Roman"/>
          <w:sz w:val="28"/>
        </w:rPr>
        <w:footnoteReference w:id="2"/>
      </w:r>
      <w:r>
        <w:rPr>
          <w:rStyle w:val="Style_3_ch"/>
        </w:rPr>
        <w:t xml:space="preserve">. </w:t>
      </w:r>
    </w:p>
    <w:p w14:paraId="0E000000">
      <w:pPr>
        <w:keepNext w:val="0"/>
        <w:keepLines w:val="0"/>
        <w:pageBreakBefore w:val="0"/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Style w:val="Style_3_ch"/>
        </w:rPr>
        <w:t>П</w:t>
      </w:r>
      <w:r>
        <w:rPr>
          <w:rFonts w:ascii="Times New Roman" w:hAnsi="Times New Roman"/>
          <w:sz w:val="28"/>
          <w:highlight w:val="white"/>
        </w:rPr>
        <w:t xml:space="preserve">ри оплате электроэнергии с использованием сервиса быстрых платежей (через мобильное приложение и в клиентских офисах АО «НЭСК») участникам акции – физическим лицам начислялся кешбэк в размере 3% от суммы совершенной операции. В случае оплаты платёжной картой «Мир» (без использования указанного сервиса) в клиентских офисах АО «НЭСК» предоставлялся кешбэк 2%. Для участия в акции необходимым условием являлась регистрация платежной карты «Мир» в программе лояльности </w:t>
      </w:r>
      <w:r>
        <w:rPr>
          <w:rStyle w:val="Style_3_ch"/>
        </w:rPr>
        <w:t xml:space="preserve">АО «НСПК» </w:t>
      </w:r>
      <w:r>
        <w:rPr>
          <w:rFonts w:ascii="Times New Roman" w:hAnsi="Times New Roman"/>
          <w:sz w:val="28"/>
          <w:highlight w:val="white"/>
        </w:rPr>
        <w:t xml:space="preserve">на сайте 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"https://vamprivet.ru/"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vamprivet.ru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0F000000">
      <w:pPr>
        <w:keepNext w:val="0"/>
        <w:keepLines w:val="0"/>
        <w:pageBreakBefore w:val="0"/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Всего за период проведения маркетинговой акции выгода потребителей составила 17,2 млн рублей</w:t>
      </w:r>
      <w:r>
        <w:rPr>
          <w:rStyle w:val="Style_4_ch"/>
          <w:rFonts w:ascii="Times New Roman" w:hAnsi="Times New Roman"/>
          <w:sz w:val="28"/>
          <w:highlight w:val="white"/>
        </w:rPr>
        <w:footnoteReference w:id="3"/>
      </w:r>
      <w:r>
        <w:rPr>
          <w:rFonts w:ascii="Times New Roman" w:hAnsi="Times New Roman"/>
          <w:sz w:val="28"/>
          <w:highlight w:val="white"/>
        </w:rPr>
        <w:t>.</w:t>
      </w:r>
    </w:p>
    <w:p w14:paraId="10000000">
      <w:pPr>
        <w:keepNext w:val="0"/>
        <w:keepLines w:val="0"/>
        <w:pageBreakBefore w:val="0"/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Также сообщаем, что АО «НСПК» в июне 2025 года начата проработка маркетинговой акции с ООО «Краснодар Водоканал»</w:t>
      </w:r>
      <w:r>
        <w:rPr>
          <w:rStyle w:val="Style_4_ch"/>
          <w:rFonts w:ascii="Times New Roman" w:hAnsi="Times New Roman"/>
          <w:sz w:val="28"/>
          <w:highlight w:val="white"/>
        </w:rPr>
        <w:footnoteReference w:id="4"/>
      </w:r>
      <w:r>
        <w:rPr>
          <w:rFonts w:ascii="Times New Roman" w:hAnsi="Times New Roman"/>
          <w:sz w:val="28"/>
          <w:highlight w:val="white"/>
        </w:rPr>
        <w:t xml:space="preserve">. По информации АО «НСПК» со стороны руководства указанной организации наблюдается низкая </w:t>
      </w:r>
    </w:p>
    <w:p w14:paraId="11000000">
      <w:pPr>
        <w:sectPr>
          <w:headerReference r:id="rId1" w:type="default"/>
          <w:pgSz w:h="16838" w:orient="portrait" w:w="11906"/>
          <w:pgMar w:bottom="1134" w:footer="708" w:gutter="0" w:header="567" w:left="1701" w:right="850" w:top="1134"/>
          <w:pgNumType w:fmt="decimal"/>
        </w:sectPr>
      </w:pPr>
    </w:p>
    <w:p w14:paraId="12000000">
      <w:pPr>
        <w:keepNext w:val="0"/>
        <w:keepLines w:val="0"/>
        <w:pageBreakBefore w:val="0"/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заинтересованность в проведении маркетинговой акции в связи с тем, что предполагается дополнительная финансовая нагрузка на ООО «Краснодар Водоканал» по информированию населения о соответствующей акции. По состоянию на 10.02.2026 период проведения маркетинговой акции с ООО «Краснодар Водоканал» не определен и находится в проработке.</w:t>
      </w:r>
    </w:p>
    <w:p w14:paraId="1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2" w:type="default"/>
      <w:pgSz w:h="16838" w:orient="portrait" w:w="11906"/>
      <w:pgMar w:bottom="1134" w:footer="708" w:gutter="0" w:header="567" w:left="1701" w:right="850" w:top="1134"/>
      <w:pgNumType w:fmt="decimal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1A000000">
      <w:pPr>
        <w:widowControl w:val="1"/>
        <w:spacing w:line="240" w:lineRule="auto"/>
        <w:ind/>
      </w:pPr>
      <w:r>
        <w:separator/>
      </w:r>
    </w:p>
  </w:endnote>
  <w:endnote w:id="0" w:type="continuationSeparator">
    <w:p w14:paraId="1B000000">
      <w:pPr>
        <w:widowControl w:val="1"/>
        <w:spacing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14000000">
      <w:pPr>
        <w:widowControl w:val="1"/>
        <w:spacing w:after="0" w:before="0" w:line="276" w:lineRule="auto"/>
        <w:ind/>
      </w:pPr>
      <w:r>
        <w:separator/>
      </w:r>
    </w:p>
  </w:footnote>
  <w:footnote w:id="0" w:type="continuationSeparator">
    <w:p w14:paraId="15000000">
      <w:pPr>
        <w:widowControl w:val="1"/>
        <w:spacing w:after="0" w:before="0" w:line="276" w:lineRule="auto"/>
        <w:ind/>
      </w:pPr>
      <w:r>
        <w:continuationSeparator/>
      </w:r>
    </w:p>
  </w:footnote>
  <w:footnote w:id="1">
    <w:p w14:paraId="16000000">
      <w:pPr>
        <w:pStyle w:val="Style_17"/>
        <w:widowControl w:val="1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Период проведения маркетинговой акции с 15.07.2025 по 31.12.2025.</w:t>
      </w:r>
    </w:p>
  </w:footnote>
  <w:footnote w:id="2">
    <w:p w14:paraId="17000000">
      <w:pPr>
        <w:pStyle w:val="Style_17"/>
        <w:widowControl w:val="1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АО «НЭСК» (Акционерное общество «Независимая энергосбытовая компания Краснодарского края») является одной из крупнейших энергосбытовых компаний Юга России, оказывает услуги по электроснабжению, монтажу и обслуживанию систем учета электроэнергии.</w:t>
      </w:r>
    </w:p>
  </w:footnote>
  <w:footnote w:id="3">
    <w:p w14:paraId="18000000">
      <w:pPr>
        <w:pStyle w:val="Style_17"/>
        <w:widowControl w:val="1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 данным сайта АО «НЭСК» </w:t>
      </w:r>
      <w:r>
        <w:rPr>
          <w:rFonts w:ascii="Times New Roman" w:hAnsi="Times New Roman"/>
        </w:rPr>
        <w:t>www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nesk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</w:rPr>
        <w:t>.</w:t>
      </w:r>
    </w:p>
  </w:footnote>
  <w:footnote w:id="4">
    <w:p w14:paraId="19000000">
      <w:pPr>
        <w:pStyle w:val="Style_17"/>
        <w:widowControl w:val="1"/>
        <w:ind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highlight w:val="white"/>
        </w:rPr>
        <w:t>ООО «Краснодар Водоканал» является гарантирующей организацией, осуществляющей водоснабжение на территории г Краснодар.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themeColor="dark1" w:val="00000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themeColor="dark1" w:val="000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themeColor="dark1" w:val="00000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themeColor="dark1" w:val="000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themeColor="dark1"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themeColor="dark1" w:val="000000"/>
                              <w:sz w:val="28"/>
                            </w:rPr>
                            <w:fldChar w:fldCharType="end"/>
                          </w:r>
                        </w:p>
                        <w:p w14:paraId="04000000">
                          <w:pPr>
                            <w:pStyle w:val="Style_2"/>
                            <w:rPr>
                              <w:rFonts w:ascii="Times New Roman" w:hAnsi="Times New Roman"/>
                              <w:color w:themeColor="dark1" w:val="00000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footnote reference"/>
    <w:basedOn w:val="Style_7"/>
    <w:link w:val="Style_4_ch"/>
    <w:rPr>
      <w:vertAlign w:val="superscript"/>
    </w:rPr>
  </w:style>
  <w:style w:styleId="Style_4_ch" w:type="character">
    <w:name w:val="footnote reference"/>
    <w:basedOn w:val="Style_7_ch"/>
    <w:link w:val="Style_4"/>
    <w:rPr>
      <w:vertAlign w:val="superscript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2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3" w:type="paragraph">
    <w:name w:val="Классика14"/>
    <w:basedOn w:val="Style_7"/>
    <w:link w:val="Style_3_ch"/>
    <w:rPr>
      <w:rFonts w:ascii="Times New Roman" w:hAnsi="Times New Roman"/>
      <w:sz w:val="28"/>
    </w:rPr>
  </w:style>
  <w:style w:styleId="Style_3_ch" w:type="character">
    <w:name w:val="Классика14"/>
    <w:basedOn w:val="Style_7_ch"/>
    <w:link w:val="Style_3"/>
    <w:rPr>
      <w:rFonts w:ascii="Times New Roman" w:hAnsi="Times New Roman"/>
      <w:sz w:val="28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5" w:type="paragraph">
    <w:name w:val="Hyperlink"/>
    <w:basedOn w:val="Style_7"/>
    <w:link w:val="Style_5_ch"/>
    <w:rPr>
      <w:color w:themeColor="hyperlink" w:val="0563C1"/>
      <w:u w:val="single"/>
    </w:rPr>
  </w:style>
  <w:style w:styleId="Style_5_ch" w:type="character">
    <w:name w:val="Hyperlink"/>
    <w:basedOn w:val="Style_7_ch"/>
    <w:link w:val="Style_5"/>
    <w:rPr>
      <w:color w:themeColor="hyperlink" w:val="0563C1"/>
      <w:u w:val="single"/>
    </w:rPr>
  </w:style>
  <w:style w:styleId="Style_17" w:type="paragraph">
    <w:name w:val="Foot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Footnote"/>
    <w:basedOn w:val="Style_2_ch"/>
    <w:link w:val="Style_17"/>
    <w:rPr>
      <w:sz w:val="20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10" Target="endnotes.xml" Type="http://schemas.openxmlformats.org/officeDocument/2006/relationships/endnotes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footnotes.xml" Type="http://schemas.openxmlformats.org/officeDocument/2006/relationships/footnotes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2026-02-04T17:45:00Z</dcterms:created>
  <dcterms:modified xsi:type="dcterms:W3CDTF">2026-04-08T14:59:56Z</dcterms:modified>
</cp:coreProperties>
</file>