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A9" w:rsidRDefault="00E50FA9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0886" wp14:editId="165AEB0D">
                <wp:simplePos x="0" y="0"/>
                <wp:positionH relativeFrom="column">
                  <wp:posOffset>-121920</wp:posOffset>
                </wp:positionH>
                <wp:positionV relativeFrom="paragraph">
                  <wp:posOffset>-45720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0FA9" w:rsidRPr="00E50FA9" w:rsidRDefault="00E50FA9" w:rsidP="00E50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FA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Сенсорное воспитание в старшей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B3088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.6pt;margin-top:-3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DDbraw3AAAAAoBAAAPAAAAAAAAAAAA&#10;AAAAAJAEAABkcnMvZG93bnJldi54bWxQSwUGAAAAAAQABADzAAAAmQUAAAAA&#10;" filled="f" stroked="f">
                <v:textbox style="mso-fit-shape-to-text:t">
                  <w:txbxContent>
                    <w:p w:rsidR="00E50FA9" w:rsidRPr="00E50FA9" w:rsidRDefault="00E50FA9" w:rsidP="00E50F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0FA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Сенсорное воспитание в старшей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D7544C" w:rsidRDefault="00FC4797" w:rsidP="00E50FA9">
      <w:pPr>
        <w:rPr>
          <w:rStyle w:val="a4"/>
          <w:rFonts w:ascii="Times New Roman" w:hAnsi="Times New Roman" w:cs="Times New Roman"/>
          <w:i w:val="0"/>
          <w:color w:val="211E1E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211E1E"/>
          <w:sz w:val="28"/>
          <w:szCs w:val="28"/>
        </w:rPr>
        <w:t xml:space="preserve">                                                                     </w:t>
      </w:r>
    </w:p>
    <w:p w:rsidR="00D7544C" w:rsidRDefault="00D7544C" w:rsidP="00E50FA9">
      <w:pPr>
        <w:rPr>
          <w:rStyle w:val="a4"/>
          <w:rFonts w:ascii="Times New Roman" w:hAnsi="Times New Roman" w:cs="Times New Roman"/>
          <w:i w:val="0"/>
          <w:color w:val="211E1E"/>
          <w:sz w:val="28"/>
          <w:szCs w:val="28"/>
        </w:rPr>
      </w:pPr>
    </w:p>
    <w:p w:rsidR="00D7544C" w:rsidRPr="00D7544C" w:rsidRDefault="00D7544C" w:rsidP="00E50F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211E1E"/>
          <w:sz w:val="24"/>
          <w:szCs w:val="24"/>
        </w:rPr>
        <w:t xml:space="preserve">                                                                                           </w:t>
      </w:r>
      <w:r w:rsidR="00FC4797" w:rsidRPr="00FC4797">
        <w:rPr>
          <w:rStyle w:val="a4"/>
          <w:rFonts w:ascii="Times New Roman" w:hAnsi="Times New Roman" w:cs="Times New Roman"/>
          <w:i w:val="0"/>
          <w:color w:val="211E1E"/>
          <w:sz w:val="24"/>
          <w:szCs w:val="24"/>
        </w:rPr>
        <w:t>Консультацию подготовила: Аракелян Л.С.</w:t>
      </w:r>
    </w:p>
    <w:p w:rsidR="00E50FA9" w:rsidRDefault="00E50FA9" w:rsidP="00E50FA9">
      <w:pPr>
        <w:rPr>
          <w:rFonts w:ascii="Times New Roman" w:hAnsi="Times New Roman" w:cs="Times New Roman"/>
          <w:sz w:val="28"/>
          <w:szCs w:val="28"/>
        </w:rPr>
      </w:pPr>
      <w:r w:rsidRPr="00E50FA9">
        <w:rPr>
          <w:rFonts w:ascii="Times New Roman" w:hAnsi="Times New Roman" w:cs="Times New Roman"/>
          <w:sz w:val="28"/>
          <w:szCs w:val="28"/>
        </w:rPr>
        <w:t>Сенсорн</w:t>
      </w:r>
      <w:r>
        <w:rPr>
          <w:rFonts w:ascii="Times New Roman" w:hAnsi="Times New Roman" w:cs="Times New Roman"/>
          <w:sz w:val="28"/>
          <w:szCs w:val="28"/>
        </w:rPr>
        <w:t xml:space="preserve">ое развитие ребёнка – это развитие его восприятия и формирование представлений о внешних свойствах предметов. </w:t>
      </w:r>
    </w:p>
    <w:p w:rsidR="001131B0" w:rsidRDefault="00E50FA9" w:rsidP="0011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оказывает большое влияние на развития восприятия ребёнка и формирование его представлений о внешних свойствах предметов</w:t>
      </w:r>
      <w:r w:rsidRPr="00E50F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их форме, цвете, величине, вкусе и т.д. Именно с восприятия предметов и явлений окружающего мира и начинается познание всего. Успешность умственного, физического, эстетического воспитания зависит от уровня сенсорного воспитания,</w:t>
      </w:r>
      <w:r w:rsidRPr="00E5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от того, насколько совершенно ребёнок слышит видит, чувствует окружающее. Именно поэтому так важно, чтобы сенсорное воспитание систематически включилось во все моменты жизни ребёнка</w:t>
      </w:r>
      <w:r w:rsidR="001131B0">
        <w:rPr>
          <w:rFonts w:ascii="Times New Roman" w:hAnsi="Times New Roman" w:cs="Times New Roman"/>
          <w:sz w:val="28"/>
          <w:szCs w:val="28"/>
        </w:rPr>
        <w:t>, прежде всего в процессы познания окружающей жизни</w:t>
      </w:r>
      <w:r w:rsidR="001131B0" w:rsidRPr="001131B0">
        <w:rPr>
          <w:rFonts w:ascii="Times New Roman" w:hAnsi="Times New Roman" w:cs="Times New Roman"/>
          <w:sz w:val="28"/>
          <w:szCs w:val="28"/>
        </w:rPr>
        <w:t>:</w:t>
      </w:r>
      <w:r w:rsidR="001131B0">
        <w:rPr>
          <w:rFonts w:ascii="Times New Roman" w:hAnsi="Times New Roman" w:cs="Times New Roman"/>
          <w:sz w:val="28"/>
          <w:szCs w:val="28"/>
        </w:rPr>
        <w:t xml:space="preserve"> предметов, их свойств и качеств. </w:t>
      </w:r>
    </w:p>
    <w:p w:rsidR="001131B0" w:rsidRDefault="001131B0" w:rsidP="0011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основной формой и содержанием организации жизни детей является игра, игра – самая любимая и естественная деятельность дошкольников. </w:t>
      </w:r>
    </w:p>
    <w:p w:rsidR="00E50FA9" w:rsidRDefault="001131B0" w:rsidP="001131B0">
      <w:pPr>
        <w:ind w:hanging="142"/>
        <w:rPr>
          <w:rFonts w:ascii="Times New Roman" w:hAnsi="Times New Roman" w:cs="Times New Roman"/>
          <w:color w:val="211E1E"/>
          <w:sz w:val="28"/>
          <w:szCs w:val="28"/>
        </w:rPr>
      </w:pPr>
      <w:r w:rsidRPr="001131B0">
        <w:rPr>
          <w:rFonts w:ascii="Times New Roman" w:hAnsi="Times New Roman" w:cs="Times New Roman"/>
          <w:i/>
          <w:sz w:val="28"/>
          <w:szCs w:val="28"/>
        </w:rPr>
        <w:t>«</w:t>
      </w:r>
      <w:r w:rsidRPr="001131B0">
        <w:rPr>
          <w:rFonts w:ascii="Times New Roman" w:hAnsi="Times New Roman" w:cs="Times New Roman"/>
          <w:i/>
          <w:color w:val="211E1E"/>
          <w:sz w:val="28"/>
          <w:szCs w:val="28"/>
        </w:rPr>
        <w:t xml:space="preserve">Для детей, не только младшего возраста, но и для старшего возраста, игры имеют исключительное значение: игра для них – учёба, труд, серьёзная форма воспитания. Игра для дошкольников – способ </w:t>
      </w:r>
      <w:r>
        <w:rPr>
          <w:rFonts w:ascii="Times New Roman" w:hAnsi="Times New Roman" w:cs="Times New Roman"/>
          <w:i/>
          <w:color w:val="211E1E"/>
          <w:sz w:val="28"/>
          <w:szCs w:val="28"/>
        </w:rPr>
        <w:t xml:space="preserve">познания </w:t>
      </w:r>
      <w:r w:rsidRPr="001131B0">
        <w:rPr>
          <w:rFonts w:ascii="Times New Roman" w:hAnsi="Times New Roman" w:cs="Times New Roman"/>
          <w:i/>
          <w:color w:val="211E1E"/>
          <w:sz w:val="28"/>
          <w:szCs w:val="28"/>
        </w:rPr>
        <w:t>окружающего»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- говорила Н. К. Крупская.</w:t>
      </w:r>
    </w:p>
    <w:p w:rsidR="00244BBC" w:rsidRPr="00244BBC" w:rsidRDefault="001131B0" w:rsidP="00244BBC">
      <w:pPr>
        <w:pStyle w:val="a3"/>
        <w:shd w:val="clear" w:color="auto" w:fill="FFFFFF"/>
        <w:spacing w:before="75" w:beforeAutospacing="0" w:after="75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Процесс познания дошкольника отличается от процесса познания взрослого. Взрослые познают мир умом, дети – эмоциями. </w:t>
      </w:r>
      <w:r w:rsidR="00244BBC" w:rsidRPr="00244BBC">
        <w:rPr>
          <w:color w:val="211E1E"/>
          <w:sz w:val="28"/>
          <w:szCs w:val="28"/>
        </w:rPr>
        <w:t>Одним из основных этапов сенсорного воспитания является организация предметно развивающей среды, так как правильно организованная развивающая среда — это одно из условий развития личности ребенка.</w:t>
      </w:r>
    </w:p>
    <w:p w:rsidR="00244BBC" w:rsidRPr="00244BBC" w:rsidRDefault="00244BBC" w:rsidP="00244BBC">
      <w:pPr>
        <w:pStyle w:val="a5"/>
        <w:rPr>
          <w:rFonts w:ascii="Times New Roman" w:hAnsi="Times New Roman" w:cs="Times New Roman"/>
          <w:sz w:val="28"/>
          <w:szCs w:val="28"/>
        </w:rPr>
      </w:pPr>
      <w:r w:rsidRPr="00244BBC">
        <w:rPr>
          <w:rFonts w:ascii="Times New Roman" w:hAnsi="Times New Roman" w:cs="Times New Roman"/>
          <w:sz w:val="28"/>
          <w:szCs w:val="28"/>
        </w:rPr>
        <w:t xml:space="preserve">Для формирования знаний детей о предметах нужна такая окружающая среда, в которой ребенок постоянно мог обогащать свои знания. Для этого необходимо окружать ребёнка дидактическими пособиями и играми: мозаики, </w:t>
      </w:r>
      <w:proofErr w:type="spellStart"/>
      <w:r w:rsidRPr="00244BB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44BBC">
        <w:rPr>
          <w:rFonts w:ascii="Times New Roman" w:hAnsi="Times New Roman" w:cs="Times New Roman"/>
          <w:sz w:val="28"/>
          <w:szCs w:val="28"/>
        </w:rPr>
        <w:t>, вкладыши, пирамидки, настольно - печатные игры, игры – шнуровки, игры с пуговицами и прищепками, кубики, крупный строительный материал «</w:t>
      </w:r>
      <w:proofErr w:type="spellStart"/>
      <w:r w:rsidRPr="00244BB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44BBC">
        <w:rPr>
          <w:rFonts w:ascii="Times New Roman" w:hAnsi="Times New Roman" w:cs="Times New Roman"/>
          <w:sz w:val="28"/>
          <w:szCs w:val="28"/>
        </w:rPr>
        <w:t>» и др.); музыкальные и звучащие игрушки (колокольчики, барабаны, резиновые пищалки, дудочки и др.), наборы для экспериментирования с водой и песком;</w:t>
      </w:r>
    </w:p>
    <w:p w:rsidR="0052799E" w:rsidRDefault="00244BBC" w:rsidP="0052799E">
      <w:pPr>
        <w:pStyle w:val="a5"/>
        <w:rPr>
          <w:rFonts w:ascii="Times New Roman" w:hAnsi="Times New Roman" w:cs="Times New Roman"/>
          <w:sz w:val="28"/>
          <w:szCs w:val="28"/>
        </w:rPr>
      </w:pPr>
      <w:r w:rsidRPr="00244BBC">
        <w:rPr>
          <w:rFonts w:ascii="Times New Roman" w:hAnsi="Times New Roman" w:cs="Times New Roman"/>
          <w:sz w:val="28"/>
          <w:szCs w:val="28"/>
        </w:rPr>
        <w:t>емкости разной формы, предметы-орудия для переливания и вылавливания предметов и др.</w:t>
      </w:r>
      <w:r w:rsidR="0052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99E" w:rsidRDefault="0052799E" w:rsidP="005279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 домашних условиях с ребёнком смастерить такие дидактические игры, как «Чудесные мешочек» (с крупами, с бусинами, с мукой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«Тяжёлый – лёгкий» (мешочки разный размеров и цветов), «Подбери заплатки», «Матрёшки» и т.д. </w:t>
      </w:r>
    </w:p>
    <w:p w:rsidR="0052799E" w:rsidRDefault="0052799E" w:rsidP="005279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использу</w:t>
      </w:r>
      <w:r w:rsidR="00FC4797">
        <w:rPr>
          <w:rFonts w:ascii="Times New Roman" w:hAnsi="Times New Roman" w:cs="Times New Roman"/>
          <w:sz w:val="28"/>
          <w:szCs w:val="28"/>
        </w:rPr>
        <w:t>я дидактических игр поможет повы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="00FC4797">
        <w:rPr>
          <w:rFonts w:ascii="Times New Roman" w:hAnsi="Times New Roman" w:cs="Times New Roman"/>
          <w:sz w:val="28"/>
          <w:szCs w:val="28"/>
        </w:rPr>
        <w:t>у детей уровень сенсорного воспитания.</w:t>
      </w:r>
    </w:p>
    <w:p w:rsidR="00E50FA9" w:rsidRDefault="00E50FA9" w:rsidP="00E50FA9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211E1E"/>
          <w:sz w:val="21"/>
          <w:szCs w:val="21"/>
        </w:rPr>
      </w:pPr>
      <w:r>
        <w:rPr>
          <w:rStyle w:val="a4"/>
          <w:rFonts w:ascii="Arial" w:hAnsi="Arial" w:cs="Arial"/>
          <w:color w:val="211E1E"/>
          <w:sz w:val="27"/>
          <w:szCs w:val="27"/>
        </w:rPr>
        <w:lastRenderedPageBreak/>
        <w:t> </w:t>
      </w:r>
    </w:p>
    <w:p w:rsidR="00D7544C" w:rsidRDefault="00F64B0B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563043F4" wp14:editId="14ABCF92">
            <wp:extent cx="2310101" cy="1732618"/>
            <wp:effectExtent l="136208" t="73342" r="93662" b="1317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926_1607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5647" cy="17367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7357" cy="1700560"/>
            <wp:effectExtent l="130810" t="78740" r="92710" b="130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926_1608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1250" cy="1710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7544C">
        <w:rPr>
          <w:rFonts w:ascii="Times New Roman" w:hAnsi="Times New Roman" w:cs="Times New Roman"/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t xml:space="preserve">      </w:t>
      </w:r>
      <w:r w:rsidR="00D7544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16158" wp14:editId="6F8036C5">
            <wp:extent cx="2611208" cy="1958340"/>
            <wp:effectExtent l="114300" t="76200" r="55880" b="1371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0927_092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10" cy="19636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</w:t>
      </w:r>
      <w:r w:rsidR="00D7544C">
        <w:rPr>
          <w:rFonts w:ascii="Times New Roman" w:hAnsi="Times New Roman" w:cs="Times New Roman"/>
          <w:noProof/>
          <w:lang w:eastAsia="ru-RU"/>
        </w:rPr>
        <w:t xml:space="preserve">        </w:t>
      </w:r>
      <w:r w:rsidR="00D7544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56902" wp14:editId="16AA7681">
            <wp:extent cx="2625090" cy="1968751"/>
            <wp:effectExtent l="114300" t="76200" r="60960" b="1270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927_0938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791" cy="19842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7544C">
        <w:rPr>
          <w:rFonts w:ascii="Times New Roman" w:hAnsi="Times New Roman" w:cs="Times New Roman"/>
          <w:noProof/>
          <w:lang w:eastAsia="ru-RU"/>
        </w:rPr>
        <w:t xml:space="preserve">     </w:t>
      </w:r>
    </w:p>
    <w:p w:rsidR="00D7544C" w:rsidRDefault="00D7544C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A27BF1" w:rsidRDefault="00A27BF1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</w:p>
    <w:p w:rsidR="00D7544C" w:rsidRPr="00E50FA9" w:rsidRDefault="00D7544C" w:rsidP="00E50FA9">
      <w:pPr>
        <w:tabs>
          <w:tab w:val="left" w:pos="1572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Источник</w:t>
      </w:r>
      <w:r w:rsidRPr="00D7544C">
        <w:rPr>
          <w:rFonts w:ascii="Times New Roman" w:hAnsi="Times New Roman" w:cs="Times New Roman"/>
          <w:noProof/>
          <w:lang w:eastAsia="ru-RU"/>
        </w:rPr>
        <w:t>:</w:t>
      </w:r>
      <w:r>
        <w:rPr>
          <w:rFonts w:ascii="Times New Roman" w:hAnsi="Times New Roman" w:cs="Times New Roman"/>
          <w:noProof/>
          <w:lang w:val="hy-AM" w:eastAsia="ru-RU"/>
        </w:rPr>
        <w:t xml:space="preserve"> </w:t>
      </w:r>
      <w:hyperlink r:id="rId9" w:history="1">
        <w:r w:rsidRPr="00FF2F6F">
          <w:rPr>
            <w:rStyle w:val="a6"/>
            <w:rFonts w:ascii="Times New Roman" w:hAnsi="Times New Roman" w:cs="Times New Roman"/>
            <w:noProof/>
            <w:lang w:val="hy-AM" w:eastAsia="ru-RU"/>
          </w:rPr>
          <w:t>http://www.uvat-solnishko.ru/konsultatsii-spetsialistov/news497.html</w:t>
        </w:r>
      </w:hyperlink>
      <w:r>
        <w:rPr>
          <w:rFonts w:ascii="Times New Roman" w:hAnsi="Times New Roman" w:cs="Times New Roman"/>
          <w:noProof/>
          <w:lang w:val="hy-AM"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   </w:t>
      </w:r>
      <w:bookmarkStart w:id="0" w:name="_GoBack"/>
      <w:bookmarkEnd w:id="0"/>
    </w:p>
    <w:sectPr w:rsidR="00D7544C" w:rsidRPr="00E50FA9" w:rsidSect="00F64B0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9A"/>
    <w:rsid w:val="001131B0"/>
    <w:rsid w:val="00242F9A"/>
    <w:rsid w:val="00244BBC"/>
    <w:rsid w:val="0052799E"/>
    <w:rsid w:val="005D021C"/>
    <w:rsid w:val="00A27BF1"/>
    <w:rsid w:val="00D7544C"/>
    <w:rsid w:val="00E50FA9"/>
    <w:rsid w:val="00F64B0B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FA9"/>
    <w:rPr>
      <w:i/>
      <w:iCs/>
    </w:rPr>
  </w:style>
  <w:style w:type="paragraph" w:styleId="a5">
    <w:name w:val="No Spacing"/>
    <w:uiPriority w:val="1"/>
    <w:qFormat/>
    <w:rsid w:val="00244BB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7544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FA9"/>
    <w:rPr>
      <w:i/>
      <w:iCs/>
    </w:rPr>
  </w:style>
  <w:style w:type="paragraph" w:styleId="a5">
    <w:name w:val="No Spacing"/>
    <w:uiPriority w:val="1"/>
    <w:qFormat/>
    <w:rsid w:val="00244BB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7544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vat-solnishko.ru/konsultatsii-spetsialistov/news4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6</cp:revision>
  <dcterms:created xsi:type="dcterms:W3CDTF">2022-09-26T11:28:00Z</dcterms:created>
  <dcterms:modified xsi:type="dcterms:W3CDTF">2022-10-04T14:37:00Z</dcterms:modified>
</cp:coreProperties>
</file>