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B9" w:rsidRPr="00FC6AB9" w:rsidRDefault="00FC6AB9" w:rsidP="003E2E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Взаимосвязь развития речи и развития </w:t>
      </w:r>
      <w:proofErr w:type="gramStart"/>
      <w:r w:rsidRPr="00FC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тонких</w:t>
      </w:r>
      <w:proofErr w:type="gramEnd"/>
      <w:r w:rsidRPr="00FC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дифференцированных</w:t>
      </w:r>
    </w:p>
    <w:p w:rsidR="00FC6AB9" w:rsidRPr="00FC6AB9" w:rsidRDefault="00FC6AB9" w:rsidP="003E2E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движений пальцев и кисти рук детей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относится к высшим уровням организации движений. В коре больших полушарий двигательный центр и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речедвигательный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располагаются рядом (один является частью другого). Поэтому при развитии речи и движений (мелкой и общей моторики), так же как и их нарушений идут «параллельно».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Тренируя пальцы, мы оказываем мощное воздействие на работоспособность коры головного мозга, что в дальнейшем сказывается на подготовке руки к письму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развития речи детей первых лет</w:t>
      </w:r>
      <w:proofErr w:type="gram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разработан следующий метод: ребёнка просят показать один пальчик, два пальчика, три. Дети, которым удаются изолированные движения пальцев, — говорящие дети. До тех пор, пока движения пальцев не станут свободными, развития речи и, следовательно, мышления добиться не удастся.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важно и при своевременном речевом развитии, и – особенно – в тех случаях, когда это развитие нарушено. Кроме того, доказано, что и мысль, 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исследованиях указывается на неоднородность структуры дефекта при ОНР, обусловленной наличием вербальных и невербальных  нарушений. Одним из нарушений невербального характера является нарушение  моторной сферы, в частности мелкой моторики, которое выражено недостаточной координацией,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недифференцированностью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малым объемом движений пальцев и кисти рук, неловкостью, слабо развитыми тактильными ощущениями, недостаточным темпом и переключаемостью  последовательно организованных движений. Согласно данным психологов и физиологов, у детей дошкольного возраста с ОНР не закончено окостенение запястий и фаланг пальцев. Зрительные и двигательные анализаторы находятся на разной стадии развития. Поэтому движения характеризуются недостаточной чёткостью и организованностью. Отмечается  утомляемость и истощаемость движений, недостаточная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одним из направлений </w:t>
      </w:r>
      <w:r w:rsidRPr="00A6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работы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групп компенсирующей направленности является развитие тонких дифференцированных движений пальцев и кисти рук  детей.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происходит, когда ребёнок занимается пальчиковой гимнастикой?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Выполнение упражнений и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движений</w:t>
      </w:r>
      <w:proofErr w:type="gram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Малыш учится концентрировать своё внимание и правильно его распределять.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выполняемыми движениями.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 малыша развивается воображение и фантазия. Овладев многими упражнениями, он сможет «рассказывать руками» целые истории.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можно условно разделить на три группы.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группа. Упражнения для кистей рук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•развивают подражательную способность;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•учат напрягать и расслаблять мышцы;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•развивают умение сохранять положение пальцев некоторое время;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•учат переключаться с одного движения на другое.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группа. Упражнения для пальцев условно статические.</w:t>
      </w:r>
    </w:p>
    <w:p w:rsidR="00FC6AB9" w:rsidRPr="003E2E6B" w:rsidRDefault="00FC6AB9" w:rsidP="003E2E6B">
      <w:p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 полученные ранее навыки на более высоком уровне и требуют более точных движений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группа. Упражнения для пальцев динамические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•развивают точную координацию движений;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•учат сгибать и разгибать пальцы рук;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•учат противопоставлять большой палец остальным.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игр необходимо соблюдать следующие правила: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•Отрабатывать последовательно все упражнения, начиная с первой группы.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•Игровые задания должны постепенно усложняться.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•Начинать игру можно только тогда, когда ребёнок хочет играть.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•Никогда не начинать игру, если вы сами утомлены или если ребёнок неважно себя чувствует.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•Для повышения эффективности воздействия при выполнении различных упражнений необходимо задействовать все пальцы руки.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•Подбор упражнений с учётом возрастных и индивидуальных возможностей детей.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•Наличие познавательной направленности текстов к упражнениям.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•Недопустимо переутомление ребёнка в игре.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•Любые упражнения будут эффективны только при регулярных занятиях.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нашей  группе  организована систематическая работа по развитию мелкой  моторики. Развитию тонких дифференцированных движений пальцев рук уделяется ежедневно  15-20 минут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течение учебного года ведется  просветительская работа родителей воспитателями по развитию мелкой моторики у детей. Регулярно  проводятся родительские собрания,  индивидуальные беседы с показом  дидактических игр, упражнений.  Также проводятся консультации: «Тренируем пальчики – развиваем речь», 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«Чтобы лучше говорить,  надо с  пальцами  дружить», «Развитие мелкой моторики как основа подготовки руки к письму у старших дошкольников с ОНР».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пальчик руки имеет обширное представительство в коре больших полушарий мозга.   Есть  такой  тест на распознание пальцев, который помогает оценить функционирование теменно-затылочных отделов коры головного мозга ребенка: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 ладонь и пальцы  протянутой руки ребёнка своей рукой. Другой рукой дотрагивайтесь до пальцев его протянутой руки. Попросите вытянуть на другой руке тот палец, который вы трогаете.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3-летний ребенок - правильно определяет большой палец.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5-летний ребенок - различает большой палец и мизинец.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6-летний - свободно различает большой палец, мизинец и указательный.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среднего и безымянного пальцев представляет большую проблему для шестилетнего ребенка.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иметь в виду, что пальцы на правой руке ребенок - правша, как правило, различает несколько лучше, чем на левой.</w:t>
      </w:r>
      <w:proofErr w:type="gram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зарубежных авторов, неумение ребенком распознавать пальцы - прогностический признак будущих трудностей с чтением и письмом.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в систему по развитию мелкой моторики детей необходимо  включить  специальные игровые задания.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  игр  и заданий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Игры  с пальчиками, сопровождающие стихами  и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Специальные комплексы  пальчиковой  гимнастики  без речевого сопровождения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Игровые задания на  распознание  пальцев  («Пальчик, пальчик, как зовут?»,  «Покажи такой же пальчик на другой руке», «Угадай  и  покажи», «Какой и где  пальчик?») и т. д.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  с игрушками и  предметами  (шнуровка, колец, мозаика, конструктор, нанизывание бус, застёгивание и расстегивание пуговиц, раскладывание палочек, пуговиц, каштанов,</w:t>
      </w:r>
      <w:r w:rsidR="00A6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строительный материал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перчаточный  и теневой театр и т. д.)</w:t>
      </w:r>
      <w:proofErr w:type="gramEnd"/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Массаж, самомассаж  кисти   рук  и  пальцев (ручной, карандашный, точечный, прищепочный  - биологически  активные точки на подушечках пальцев  и т. д.)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Лепка  из пластилина  и глины, раскрашивание картинок; рисование карандашами, красками, пальцами;  работа с ножницами и т. д.</w:t>
      </w:r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 </w:t>
      </w:r>
      <w:proofErr w:type="spellStart"/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(штриховка, обводка, рисование линий:  прямые дорожки, фигурные дорожки; по контурам,</w:t>
      </w: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рисование:  по точкам, по  клеточкам; печатание  букв, слогов, слов  и  т. д.)</w:t>
      </w:r>
      <w:proofErr w:type="gramEnd"/>
    </w:p>
    <w:p w:rsidR="00FC6AB9" w:rsidRPr="003E2E6B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такая система работы по развитию тонких дифференцированных движений пальцев рук показывает   положительный  результат.</w:t>
      </w:r>
    </w:p>
    <w:p w:rsidR="00FC6AB9" w:rsidRDefault="00FC6AB9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значительно улучшаются показатели выполнения моторных заданий на статическую и динамическую координацию, на переключаемость, одновременность и отчетливость движений, улучшаются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уменьшается количество </w:t>
      </w:r>
      <w:proofErr w:type="spell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синкинезий</w:t>
      </w:r>
      <w:proofErr w:type="spellEnd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тремора пальцев. Движения дошкольников становятся уверенными, повышается темп их выполнения. </w:t>
      </w:r>
      <w:proofErr w:type="gramStart"/>
      <w:r w:rsidRPr="003E2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развивая мелкую моторику, комплексно развиваются различные психические процессы - зрительно-пространственные функции, память, внимание, мышление, восприятие и, конечно же, речь.</w:t>
      </w:r>
      <w:proofErr w:type="gramEnd"/>
    </w:p>
    <w:p w:rsidR="003E2E6B" w:rsidRDefault="003E2E6B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E6B" w:rsidRDefault="003E2E6B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C16" w:rsidRDefault="00A62C16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C16" w:rsidRDefault="00A62C16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E6B" w:rsidRDefault="003E2E6B" w:rsidP="003E2E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proofErr w:type="spellStart"/>
      <w:r w:rsidRPr="003E2E6B">
        <w:rPr>
          <w:color w:val="000000" w:themeColor="text1"/>
        </w:rPr>
        <w:t>Акс</w:t>
      </w:r>
      <w:proofErr w:type="gramStart"/>
      <w:r w:rsidRPr="003E2E6B">
        <w:rPr>
          <w:color w:val="000000" w:themeColor="text1"/>
        </w:rPr>
        <w:t>e</w:t>
      </w:r>
      <w:proofErr w:type="gramEnd"/>
      <w:r w:rsidRPr="003E2E6B">
        <w:rPr>
          <w:color w:val="000000" w:themeColor="text1"/>
        </w:rPr>
        <w:t>нoвa</w:t>
      </w:r>
      <w:proofErr w:type="spellEnd"/>
      <w:r w:rsidRPr="003E2E6B">
        <w:rPr>
          <w:color w:val="000000" w:themeColor="text1"/>
        </w:rPr>
        <w:t xml:space="preserve"> М. </w:t>
      </w:r>
      <w:proofErr w:type="spellStart"/>
      <w:r w:rsidRPr="003E2E6B">
        <w:rPr>
          <w:color w:val="000000" w:themeColor="text1"/>
        </w:rPr>
        <w:t>Рaзвитиe</w:t>
      </w:r>
      <w:proofErr w:type="spellEnd"/>
      <w:r w:rsidRPr="003E2E6B">
        <w:rPr>
          <w:color w:val="000000" w:themeColor="text1"/>
        </w:rPr>
        <w:t xml:space="preserve"> </w:t>
      </w:r>
      <w:proofErr w:type="spellStart"/>
      <w:r w:rsidRPr="003E2E6B">
        <w:rPr>
          <w:color w:val="000000" w:themeColor="text1"/>
        </w:rPr>
        <w:t>тoнких</w:t>
      </w:r>
      <w:proofErr w:type="spellEnd"/>
      <w:r w:rsidRPr="003E2E6B">
        <w:rPr>
          <w:color w:val="000000" w:themeColor="text1"/>
        </w:rPr>
        <w:t xml:space="preserve"> </w:t>
      </w:r>
      <w:proofErr w:type="spellStart"/>
      <w:r w:rsidRPr="003E2E6B">
        <w:rPr>
          <w:color w:val="000000" w:themeColor="text1"/>
        </w:rPr>
        <w:t>движeний</w:t>
      </w:r>
      <w:proofErr w:type="spellEnd"/>
      <w:r w:rsidRPr="003E2E6B">
        <w:rPr>
          <w:color w:val="000000" w:themeColor="text1"/>
        </w:rPr>
        <w:t xml:space="preserve"> </w:t>
      </w:r>
      <w:proofErr w:type="spellStart"/>
      <w:r w:rsidRPr="003E2E6B">
        <w:rPr>
          <w:color w:val="000000" w:themeColor="text1"/>
        </w:rPr>
        <w:t>пaльцeв</w:t>
      </w:r>
      <w:proofErr w:type="spellEnd"/>
      <w:r w:rsidRPr="003E2E6B">
        <w:rPr>
          <w:color w:val="000000" w:themeColor="text1"/>
        </w:rPr>
        <w:t xml:space="preserve"> рук у </w:t>
      </w:r>
      <w:proofErr w:type="spellStart"/>
      <w:r w:rsidRPr="003E2E6B">
        <w:rPr>
          <w:color w:val="000000" w:themeColor="text1"/>
        </w:rPr>
        <w:t>дeтeй</w:t>
      </w:r>
      <w:proofErr w:type="spellEnd"/>
      <w:r w:rsidRPr="003E2E6B">
        <w:rPr>
          <w:color w:val="000000" w:themeColor="text1"/>
        </w:rPr>
        <w:t xml:space="preserve"> с </w:t>
      </w:r>
      <w:proofErr w:type="spellStart"/>
      <w:r w:rsidRPr="003E2E6B">
        <w:rPr>
          <w:color w:val="000000" w:themeColor="text1"/>
        </w:rPr>
        <w:t>нaрушeниeм</w:t>
      </w:r>
      <w:proofErr w:type="spellEnd"/>
      <w:r w:rsidRPr="003E2E6B">
        <w:rPr>
          <w:color w:val="000000" w:themeColor="text1"/>
        </w:rPr>
        <w:t xml:space="preserve"> </w:t>
      </w:r>
      <w:proofErr w:type="spellStart"/>
      <w:r w:rsidRPr="003E2E6B">
        <w:rPr>
          <w:color w:val="000000" w:themeColor="text1"/>
        </w:rPr>
        <w:t>рeчи</w:t>
      </w:r>
      <w:proofErr w:type="spellEnd"/>
      <w:r w:rsidRPr="003E2E6B">
        <w:rPr>
          <w:color w:val="000000" w:themeColor="text1"/>
        </w:rPr>
        <w:t xml:space="preserve"> // </w:t>
      </w:r>
      <w:proofErr w:type="spellStart"/>
      <w:r w:rsidRPr="003E2E6B">
        <w:rPr>
          <w:color w:val="000000" w:themeColor="text1"/>
        </w:rPr>
        <w:t>Дoшкoльнoe</w:t>
      </w:r>
      <w:proofErr w:type="spellEnd"/>
      <w:r w:rsidRPr="003E2E6B">
        <w:rPr>
          <w:color w:val="000000" w:themeColor="text1"/>
        </w:rPr>
        <w:t xml:space="preserve"> </w:t>
      </w:r>
      <w:proofErr w:type="spellStart"/>
      <w:r w:rsidRPr="003E2E6B">
        <w:rPr>
          <w:color w:val="000000" w:themeColor="text1"/>
        </w:rPr>
        <w:t>вoспитaниe</w:t>
      </w:r>
      <w:proofErr w:type="spellEnd"/>
      <w:r w:rsidRPr="003E2E6B">
        <w:rPr>
          <w:color w:val="000000" w:themeColor="text1"/>
        </w:rPr>
        <w:t>. - 2010. - №8. - С. 62-65.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proofErr w:type="spellStart"/>
      <w:r w:rsidRPr="003E2E6B">
        <w:rPr>
          <w:color w:val="000000" w:themeColor="text1"/>
        </w:rPr>
        <w:t>Антакова</w:t>
      </w:r>
      <w:proofErr w:type="spellEnd"/>
      <w:r w:rsidRPr="003E2E6B">
        <w:rPr>
          <w:color w:val="000000" w:themeColor="text1"/>
        </w:rPr>
        <w:t xml:space="preserve">-Фомина Л.В. Стимуляция развития речи у детей раннего возраста путем тренировки движений пальцев рук» // Тез. </w:t>
      </w:r>
      <w:proofErr w:type="spellStart"/>
      <w:r w:rsidRPr="003E2E6B">
        <w:rPr>
          <w:color w:val="000000" w:themeColor="text1"/>
        </w:rPr>
        <w:t>Докл</w:t>
      </w:r>
      <w:proofErr w:type="spellEnd"/>
      <w:r w:rsidRPr="003E2E6B">
        <w:rPr>
          <w:color w:val="000000" w:themeColor="text1"/>
        </w:rPr>
        <w:t xml:space="preserve">. 24-го </w:t>
      </w:r>
      <w:proofErr w:type="spellStart"/>
      <w:r w:rsidRPr="003E2E6B">
        <w:rPr>
          <w:color w:val="000000" w:themeColor="text1"/>
        </w:rPr>
        <w:t>Всесоюз</w:t>
      </w:r>
      <w:proofErr w:type="spellEnd"/>
      <w:r w:rsidRPr="003E2E6B">
        <w:rPr>
          <w:color w:val="000000" w:themeColor="text1"/>
        </w:rPr>
        <w:t xml:space="preserve">. </w:t>
      </w:r>
      <w:proofErr w:type="spellStart"/>
      <w:proofErr w:type="gramStart"/>
      <w:r w:rsidRPr="003E2E6B">
        <w:rPr>
          <w:color w:val="000000" w:themeColor="text1"/>
        </w:rPr>
        <w:t>Совещ</w:t>
      </w:r>
      <w:proofErr w:type="spellEnd"/>
      <w:r w:rsidRPr="003E2E6B">
        <w:rPr>
          <w:color w:val="000000" w:themeColor="text1"/>
        </w:rPr>
        <w:t>. по проблемам ВНД).</w:t>
      </w:r>
      <w:proofErr w:type="gramEnd"/>
      <w:r w:rsidRPr="003E2E6B">
        <w:rPr>
          <w:color w:val="000000" w:themeColor="text1"/>
        </w:rPr>
        <w:t xml:space="preserve"> - М.: Просвещение, 1974. - С. 12-25.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proofErr w:type="spellStart"/>
      <w:r w:rsidRPr="003E2E6B">
        <w:rPr>
          <w:color w:val="000000" w:themeColor="text1"/>
        </w:rPr>
        <w:t>Бадалян</w:t>
      </w:r>
      <w:proofErr w:type="spellEnd"/>
      <w:r w:rsidRPr="003E2E6B">
        <w:rPr>
          <w:color w:val="000000" w:themeColor="text1"/>
        </w:rPr>
        <w:t xml:space="preserve"> Л.О. Детские церебральные параличи. - М.: Просвещение, 2009. - 196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r w:rsidRPr="003E2E6B">
        <w:rPr>
          <w:color w:val="000000" w:themeColor="text1"/>
        </w:rPr>
        <w:t xml:space="preserve">Белая А.Е. Пальчиковые игры для развития речи дошкольников. - М.: </w:t>
      </w:r>
      <w:proofErr w:type="spellStart"/>
      <w:r w:rsidRPr="003E2E6B">
        <w:rPr>
          <w:color w:val="000000" w:themeColor="text1"/>
        </w:rPr>
        <w:t>Астрель</w:t>
      </w:r>
      <w:proofErr w:type="spellEnd"/>
      <w:r w:rsidRPr="003E2E6B">
        <w:rPr>
          <w:color w:val="000000" w:themeColor="text1"/>
        </w:rPr>
        <w:t>, 2009. - 143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r w:rsidRPr="003E2E6B">
        <w:rPr>
          <w:color w:val="000000" w:themeColor="text1"/>
        </w:rPr>
        <w:t>Бернштейн Н.А. Физиология движений и активность. - М.: Академия, 2010. - 284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r w:rsidRPr="003E2E6B">
        <w:rPr>
          <w:color w:val="000000" w:themeColor="text1"/>
        </w:rPr>
        <w:t>Большой психологический словарь</w:t>
      </w:r>
      <w:proofErr w:type="gramStart"/>
      <w:r w:rsidRPr="003E2E6B">
        <w:rPr>
          <w:color w:val="000000" w:themeColor="text1"/>
        </w:rPr>
        <w:t xml:space="preserve"> / П</w:t>
      </w:r>
      <w:proofErr w:type="gramEnd"/>
      <w:r w:rsidRPr="003E2E6B">
        <w:rPr>
          <w:color w:val="000000" w:themeColor="text1"/>
        </w:rPr>
        <w:t xml:space="preserve">од ред. Б.Г. Мещерякова, В.П. Зинченко. - М.: </w:t>
      </w:r>
      <w:proofErr w:type="spellStart"/>
      <w:r w:rsidRPr="003E2E6B">
        <w:rPr>
          <w:color w:val="000000" w:themeColor="text1"/>
        </w:rPr>
        <w:t>Владос</w:t>
      </w:r>
      <w:proofErr w:type="spellEnd"/>
      <w:r w:rsidRPr="003E2E6B">
        <w:rPr>
          <w:color w:val="000000" w:themeColor="text1"/>
        </w:rPr>
        <w:t>, 2011. - 672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r w:rsidRPr="003E2E6B">
        <w:rPr>
          <w:color w:val="000000" w:themeColor="text1"/>
        </w:rPr>
        <w:t xml:space="preserve">Бондаренко А.К., </w:t>
      </w:r>
      <w:proofErr w:type="spellStart"/>
      <w:r w:rsidRPr="003E2E6B">
        <w:rPr>
          <w:color w:val="000000" w:themeColor="text1"/>
        </w:rPr>
        <w:t>Матусик</w:t>
      </w:r>
      <w:proofErr w:type="spellEnd"/>
      <w:r w:rsidRPr="003E2E6B">
        <w:rPr>
          <w:color w:val="000000" w:themeColor="text1"/>
        </w:rPr>
        <w:t xml:space="preserve"> А.И. Воспитание детей в игре. - М. Просвещение, 2009. - 192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r w:rsidRPr="003E2E6B">
        <w:rPr>
          <w:color w:val="000000" w:themeColor="text1"/>
        </w:rPr>
        <w:t>Борисенко М.Г. Наши пальчики играют. - Екатеринбург: Паритет, 2005. - 204 с.</w:t>
      </w:r>
    </w:p>
    <w:p w:rsidR="003E2E6B" w:rsidRPr="003E2E6B" w:rsidRDefault="003E2E6B" w:rsidP="003E2E6B">
      <w:pPr>
        <w:pStyle w:val="a3"/>
        <w:rPr>
          <w:color w:val="000000" w:themeColor="text1"/>
        </w:rPr>
      </w:pPr>
      <w:proofErr w:type="spellStart"/>
      <w:r w:rsidRPr="003E2E6B">
        <w:rPr>
          <w:color w:val="000000" w:themeColor="text1"/>
        </w:rPr>
        <w:t>Винарская</w:t>
      </w:r>
      <w:proofErr w:type="spellEnd"/>
      <w:r w:rsidRPr="003E2E6B">
        <w:rPr>
          <w:color w:val="000000" w:themeColor="text1"/>
        </w:rPr>
        <w:t xml:space="preserve"> Е. Н. Дизартрия. - М.: Изд-во АСТ, 2011. - 183 с.</w:t>
      </w:r>
    </w:p>
    <w:p w:rsidR="007A22B1" w:rsidRPr="003E2E6B" w:rsidRDefault="007A22B1" w:rsidP="003E2E6B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22B1" w:rsidRPr="003E2E6B" w:rsidSect="0017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A44"/>
    <w:multiLevelType w:val="multilevel"/>
    <w:tmpl w:val="3AF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575D6"/>
    <w:multiLevelType w:val="multilevel"/>
    <w:tmpl w:val="ADC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0F7"/>
    <w:rsid w:val="00176F7F"/>
    <w:rsid w:val="003E2E6B"/>
    <w:rsid w:val="007A22B1"/>
    <w:rsid w:val="00A62C16"/>
    <w:rsid w:val="00A800F7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1439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Юзер</cp:lastModifiedBy>
  <cp:revision>7</cp:revision>
  <dcterms:created xsi:type="dcterms:W3CDTF">2021-03-10T18:08:00Z</dcterms:created>
  <dcterms:modified xsi:type="dcterms:W3CDTF">2023-12-28T12:56:00Z</dcterms:modified>
</cp:coreProperties>
</file>