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МИНИСТЕРСТВО ПРОСВЕЩЕНИЯ РОССИЙСКОЙ ФЕДЕРАЦИИ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‌Управление образования Администрации Зерноградского района‌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МБОУ Мечетинская СОШ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tbl>
      <w:tblPr>
        <w:tblStyle w:val="8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75"/>
        <w:gridCol w:w="3123"/>
        <w:gridCol w:w="312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РАССМОТРЕНО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ШМО педагогов ДО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Гурдесова Е.В.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Протокол №05 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«26»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СОГЛАСОВАНО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Заместитель директора по УВР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Аксененко Т.Е.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«28»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УТВЕРЖДЕНО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МБОУ Мечетинской СОШ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Недоведеева Л.В.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Приказ №428 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«29»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РАБОЧАЯ ПРОГРАММА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внеурочной деятельности</w:t>
      </w:r>
      <w:r/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«Финансовая грамотность»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для 6 «Б» класса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2025-2026 учебный год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педагог дополнительного образования: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Гурдесов Юрий Викторович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jc w:val="center"/>
        <w:spacing w:after="0" w:line="253" w:lineRule="atLeast"/>
        <w:rPr>
          <w:rFonts w:ascii="Calibri" w:hAnsi="Calibri" w:eastAsia="Calibri" w:cs="Calibri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ст. Мечетинская‌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2025 год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993"/>
      </w:pPr>
      <w:r/>
    </w:p>
    <w:p>
      <w:pPr>
        <w:ind w:left="993" w:right="0"/>
        <w:jc w:val="center"/>
        <w:spacing w:after="22" w:line="259" w:lineRule="auto"/>
        <w:tabs>
          <w:tab w:val="center" w:pos="4490" w:leader="none"/>
          <w:tab w:val="center" w:pos="6515" w:leader="none"/>
        </w:tabs>
        <w:rPr>
          <w:b/>
          <w:bCs/>
          <w:sz w:val="28"/>
          <w:szCs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ind w:left="993" w:right="0"/>
        <w:jc w:val="center"/>
        <w:spacing w:after="22" w:line="259" w:lineRule="auto"/>
        <w:tabs>
          <w:tab w:val="center" w:pos="4490" w:leader="none"/>
          <w:tab w:val="center" w:pos="6515" w:leader="none"/>
        </w:tabs>
        <w:rPr>
          <w:sz w:val="28"/>
        </w:rPr>
      </w:pPr>
      <w:r/>
      <w:bookmarkStart w:id="0" w:name="_GoBack"/>
      <w:r/>
      <w:bookmarkEnd w:id="0"/>
      <w:r>
        <w:rPr>
          <w:b/>
          <w:sz w:val="28"/>
        </w:rPr>
        <w:t xml:space="preserve">Планируемые результаты</w:t>
      </w:r>
      <w:r>
        <w:rPr>
          <w:sz w:val="28"/>
        </w:rPr>
      </w:r>
      <w:r>
        <w:rPr>
          <w:sz w:val="28"/>
        </w:rPr>
      </w:r>
    </w:p>
    <w:p>
      <w:pPr>
        <w:ind w:left="993" w:right="48"/>
      </w:pPr>
      <w:r>
        <w:rPr>
          <w:b/>
        </w:rPr>
        <w:t xml:space="preserve">Личностными </w:t>
      </w:r>
      <w:r>
        <w:t xml:space="preserve">результатами изучения курса «Финансовая грамотность» являются: </w:t>
      </w:r>
      <w:r/>
    </w:p>
    <w:p>
      <w:pPr>
        <w:numPr>
          <w:ilvl w:val="0"/>
          <w:numId w:val="3"/>
        </w:numPr>
        <w:ind w:left="993" w:right="48"/>
      </w:pPr>
      <w:r>
        <w:t xml:space="preserve">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  <w:r/>
    </w:p>
    <w:p>
      <w:pPr>
        <w:numPr>
          <w:ilvl w:val="0"/>
          <w:numId w:val="3"/>
        </w:numPr>
        <w:ind w:left="993" w:right="48"/>
      </w:pPr>
      <w:r>
        <w:t xml:space="preserve"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</w:t>
      </w:r>
      <w:r/>
    </w:p>
    <w:p>
      <w:pPr>
        <w:numPr>
          <w:ilvl w:val="0"/>
          <w:numId w:val="3"/>
        </w:numPr>
        <w:ind w:left="993" w:right="48"/>
      </w:pPr>
      <w:r>
        <w:t xml:space="preserve"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</w:r>
      <w:r/>
    </w:p>
    <w:p>
      <w:pPr>
        <w:numPr>
          <w:ilvl w:val="0"/>
          <w:numId w:val="3"/>
        </w:numPr>
        <w:ind w:left="993" w:right="48"/>
      </w:pPr>
      <w:r>
        <w:t xml:space="preserve">развитие навыков сотрудничества с взрослыми и сверстниками в разных игровых и реальных экономических ситуациях; участие в приня</w:t>
      </w:r>
      <w:r>
        <w:rPr>
          <w:rFonts w:eastAsia="Arial"/>
          <w:sz w:val="22"/>
        </w:rPr>
        <w:t xml:space="preserve">тии решений о семейном бюджете.</w:t>
      </w:r>
      <w:r>
        <w:t xml:space="preserve"> </w:t>
      </w:r>
      <w:r/>
    </w:p>
    <w:p>
      <w:pPr>
        <w:ind w:left="993" w:right="48" w:firstLine="0"/>
      </w:pPr>
      <w:r>
        <w:rPr>
          <w:b/>
        </w:rPr>
        <w:t xml:space="preserve">Метапредметными</w:t>
      </w:r>
      <w:r>
        <w:rPr>
          <w:b/>
        </w:rPr>
        <w:t xml:space="preserve"> </w:t>
      </w:r>
      <w:r>
        <w:t xml:space="preserve">результатами изучения курса «Финансовая грамотность» являются: </w:t>
      </w:r>
      <w:r/>
    </w:p>
    <w:p>
      <w:pPr>
        <w:ind w:left="993" w:right="0"/>
        <w:spacing w:after="22" w:line="259" w:lineRule="auto"/>
      </w:pPr>
      <w:r>
        <w:t xml:space="preserve"> </w:t>
      </w:r>
      <w:r>
        <w:rPr>
          <w:u w:val="single"/>
        </w:rPr>
        <w:t xml:space="preserve">Познавательные:</w:t>
      </w:r>
      <w:r>
        <w:t xml:space="preserve"> </w:t>
      </w:r>
      <w:r/>
    </w:p>
    <w:p>
      <w:pPr>
        <w:numPr>
          <w:ilvl w:val="0"/>
          <w:numId w:val="3"/>
        </w:numPr>
        <w:ind w:left="993" w:right="48"/>
      </w:pPr>
      <w:r>
        <w:t xml:space="preserve">освоение способов решения проблем творческого и поискового характера; </w:t>
      </w:r>
      <w:r/>
    </w:p>
    <w:p>
      <w:pPr>
        <w:numPr>
          <w:ilvl w:val="0"/>
          <w:numId w:val="3"/>
        </w:numPr>
        <w:ind w:left="993" w:right="48"/>
      </w:pPr>
      <w:r>
        <w:t xml:space="preserve">использование различных способов поиска, сбора, обработки, анализа, организации, передачи и интерпретации информации </w:t>
      </w:r>
      <w:r/>
    </w:p>
    <w:p>
      <w:pPr>
        <w:numPr>
          <w:ilvl w:val="0"/>
          <w:numId w:val="3"/>
        </w:numPr>
        <w:ind w:left="993" w:right="48"/>
      </w:pPr>
      <w:r>
        <w:t xml:space="preserve">формирование умений представлять информацию в зависимости от поставленных задач в виде таблицы, схемы, графика, диаграммы, </w:t>
      </w:r>
      <w:r/>
    </w:p>
    <w:p>
      <w:pPr>
        <w:numPr>
          <w:ilvl w:val="0"/>
          <w:numId w:val="3"/>
        </w:numPr>
        <w:ind w:left="993" w:right="48"/>
      </w:pPr>
      <w:r>
        <w:t xml:space="preserve"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 </w:t>
      </w:r>
      <w:r/>
    </w:p>
    <w:p>
      <w:pPr>
        <w:numPr>
          <w:ilvl w:val="0"/>
          <w:numId w:val="3"/>
        </w:numPr>
        <w:ind w:left="993" w:right="48"/>
      </w:pPr>
      <w:r>
        <w:t xml:space="preserve">овладение базовыми предметными и </w:t>
      </w:r>
      <w:r>
        <w:t xml:space="preserve">межпредметными</w:t>
      </w:r>
      <w:r>
        <w:t xml:space="preserve"> понятиями. </w:t>
      </w:r>
      <w:r/>
    </w:p>
    <w:p>
      <w:pPr>
        <w:ind w:left="993" w:right="0"/>
        <w:spacing w:after="23" w:line="259" w:lineRule="auto"/>
      </w:pPr>
      <w:r>
        <w:rPr>
          <w:u w:val="single"/>
        </w:rPr>
        <w:t xml:space="preserve">Регулятивные:</w:t>
      </w:r>
      <w:r>
        <w:t xml:space="preserve"> </w:t>
      </w:r>
      <w:r/>
    </w:p>
    <w:p>
      <w:pPr>
        <w:numPr>
          <w:ilvl w:val="0"/>
          <w:numId w:val="3"/>
        </w:numPr>
        <w:ind w:left="993" w:right="48"/>
      </w:pPr>
      <w:r>
        <w:t xml:space="preserve">понимание цели своих действий; </w:t>
      </w:r>
      <w:r/>
    </w:p>
    <w:p>
      <w:pPr>
        <w:numPr>
          <w:ilvl w:val="0"/>
          <w:numId w:val="3"/>
        </w:numPr>
        <w:ind w:left="993" w:right="48"/>
      </w:pPr>
      <w:r>
        <w:t xml:space="preserve">планирование действия с помощью учителя и самостоятельно; </w:t>
      </w:r>
      <w:r/>
    </w:p>
    <w:p>
      <w:pPr>
        <w:numPr>
          <w:ilvl w:val="0"/>
          <w:numId w:val="3"/>
        </w:numPr>
        <w:ind w:left="993" w:right="48"/>
      </w:pPr>
      <w:r>
        <w:t xml:space="preserve">проявление познавательной и творческой инициативы; </w:t>
      </w:r>
      <w:r/>
    </w:p>
    <w:p>
      <w:pPr>
        <w:numPr>
          <w:ilvl w:val="0"/>
          <w:numId w:val="3"/>
        </w:numPr>
        <w:ind w:left="993" w:right="48"/>
      </w:pPr>
      <w:r>
        <w:t xml:space="preserve">оценка правильности выполнения действий; самооценка и </w:t>
      </w:r>
      <w:r>
        <w:t xml:space="preserve">взаимооценка</w:t>
      </w:r>
      <w:r>
        <w:t xml:space="preserve">; </w:t>
      </w:r>
      <w:r/>
    </w:p>
    <w:p>
      <w:pPr>
        <w:numPr>
          <w:ilvl w:val="0"/>
          <w:numId w:val="3"/>
        </w:numPr>
        <w:ind w:left="993" w:right="48"/>
      </w:pPr>
      <w:r>
        <w:t xml:space="preserve">адекватное восприятие предложений товарищей, учителей, родителей. </w:t>
      </w:r>
      <w:r/>
    </w:p>
    <w:p>
      <w:pPr>
        <w:ind w:left="993" w:right="0"/>
        <w:spacing w:after="23" w:line="259" w:lineRule="auto"/>
      </w:pPr>
      <w:r>
        <w:rPr>
          <w:u w:val="single"/>
        </w:rPr>
        <w:t xml:space="preserve">Коммуникативные:</w:t>
      </w:r>
      <w:r>
        <w:t xml:space="preserve"> </w:t>
      </w:r>
      <w:r/>
    </w:p>
    <w:p>
      <w:pPr>
        <w:numPr>
          <w:ilvl w:val="0"/>
          <w:numId w:val="3"/>
        </w:numPr>
        <w:ind w:left="993" w:right="48"/>
      </w:pPr>
      <w:r>
        <w:t xml:space="preserve">составление текстов в устной и письменной формах; </w:t>
      </w:r>
      <w:r/>
    </w:p>
    <w:p>
      <w:pPr>
        <w:numPr>
          <w:ilvl w:val="0"/>
          <w:numId w:val="3"/>
        </w:numPr>
        <w:ind w:left="993" w:right="48"/>
      </w:pPr>
      <w:r>
        <w:t xml:space="preserve">готовность слушать собеседника и вести диалог; </w:t>
      </w:r>
      <w:r/>
    </w:p>
    <w:p>
      <w:pPr>
        <w:numPr>
          <w:ilvl w:val="0"/>
          <w:numId w:val="3"/>
        </w:numPr>
        <w:ind w:left="993" w:right="48"/>
      </w:pPr>
      <w:r>
        <w:t xml:space="preserve">готовность признавать возможность существования различных точек зрения и права каждого иметь свою; </w:t>
      </w:r>
      <w:r/>
    </w:p>
    <w:p>
      <w:pPr>
        <w:numPr>
          <w:ilvl w:val="0"/>
          <w:numId w:val="3"/>
        </w:numPr>
        <w:ind w:left="993" w:right="48"/>
      </w:pPr>
      <w:r>
        <w:t xml:space="preserve">умение излагать своё мнение, аргументировать свою точку зрения и давать оценку событий; </w:t>
      </w:r>
      <w:r/>
    </w:p>
    <w:p>
      <w:pPr>
        <w:numPr>
          <w:ilvl w:val="0"/>
          <w:numId w:val="3"/>
        </w:numPr>
        <w:ind w:left="993" w:right="48"/>
      </w:pPr>
      <w:r>
        <w:t xml:space="preserve"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 </w:t>
      </w:r>
      <w:r/>
    </w:p>
    <w:p>
      <w:pPr>
        <w:ind w:left="993" w:right="48"/>
      </w:pPr>
      <w:r>
        <w:rPr>
          <w:b/>
        </w:rPr>
        <w:t xml:space="preserve">Предметными </w:t>
      </w:r>
      <w:r>
        <w:t xml:space="preserve">результатами изучения курса «Финансовая грамотность» являются: </w:t>
      </w:r>
      <w:r/>
    </w:p>
    <w:p>
      <w:pPr>
        <w:numPr>
          <w:ilvl w:val="0"/>
          <w:numId w:val="3"/>
        </w:numPr>
        <w:ind w:left="993" w:right="48"/>
      </w:pPr>
      <w:r>
        <w:t xml:space="preserve"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</w:r>
      <w:r/>
    </w:p>
    <w:p>
      <w:pPr>
        <w:numPr>
          <w:ilvl w:val="0"/>
          <w:numId w:val="3"/>
        </w:numPr>
        <w:ind w:left="993" w:right="48"/>
      </w:pPr>
      <w:r>
        <w:t xml:space="preserve">понимание и правильное использование экономических терминов; </w:t>
      </w:r>
      <w:r/>
    </w:p>
    <w:p>
      <w:pPr>
        <w:numPr>
          <w:ilvl w:val="0"/>
          <w:numId w:val="3"/>
        </w:numPr>
        <w:ind w:left="993" w:right="48"/>
      </w:pPr>
      <w:r>
        <w:t xml:space="preserve">освоение приёмов работы с экономической информацией, её осмысление; проведение простых финансовых расчётов. </w:t>
      </w:r>
      <w:r/>
    </w:p>
    <w:p>
      <w:pPr>
        <w:numPr>
          <w:ilvl w:val="0"/>
          <w:numId w:val="3"/>
        </w:numPr>
        <w:ind w:left="993" w:right="48"/>
      </w:pPr>
      <w:r>
        <w:t xml:space="preserve">приобр</w:t>
      </w:r>
      <w:r>
        <w:t xml:space="preserve">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</w:t>
      </w:r>
      <w:r>
        <w:t xml:space="preserve">собов сравнения результатов на простых примерах; 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 </w:t>
      </w:r>
      <w:r/>
    </w:p>
    <w:p>
      <w:pPr>
        <w:numPr>
          <w:ilvl w:val="0"/>
          <w:numId w:val="3"/>
        </w:numPr>
        <w:ind w:left="993" w:right="48"/>
        <w:spacing w:after="50" w:line="268" w:lineRule="auto"/>
      </w:pPr>
      <w:r>
        <w:t xml:space="preserve">развитие кругозора в области экономической жизни общества и формирование познавательного интереса к изучению общественных дисциплин. </w:t>
      </w:r>
      <w:r>
        <w:rPr>
          <w:b/>
          <w:sz w:val="28"/>
        </w:rPr>
        <w:t xml:space="preserve"> </w:t>
      </w:r>
      <w:r/>
    </w:p>
    <w:p>
      <w:pPr>
        <w:ind w:left="993" w:right="48"/>
        <w:spacing w:after="50" w:line="268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993" w:right="48"/>
        <w:jc w:val="center"/>
        <w:spacing w:after="50" w:line="268" w:lineRule="auto"/>
        <w:rPr>
          <w:b/>
          <w:sz w:val="28"/>
        </w:rPr>
      </w:pPr>
      <w:r>
        <w:rPr>
          <w:b/>
          <w:sz w:val="28"/>
        </w:rPr>
        <w:t xml:space="preserve">СОДЕРЖАНИЕ УЧЕБНОГО КУРСА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993" w:right="48"/>
        <w:spacing w:after="50" w:line="26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Введение - 1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993" w:right="48"/>
        <w:spacing w:after="50" w:line="26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Доходы и расходы семьи </w:t>
      </w:r>
      <w:r>
        <w:rPr>
          <w:b/>
          <w:sz w:val="28"/>
          <w:szCs w:val="28"/>
        </w:rPr>
        <w:t xml:space="preserve">- 12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993" w:right="0"/>
        <w:spacing w:after="2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 Риски потери денег и имущества и как человек может от этого защититься </w:t>
      </w:r>
      <w:r>
        <w:rPr>
          <w:b/>
          <w:sz w:val="28"/>
          <w:szCs w:val="28"/>
        </w:rPr>
        <w:t xml:space="preserve">- 10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993" w:right="48"/>
        <w:spacing w:after="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Финансовый бизнес</w:t>
      </w:r>
      <w:r>
        <w:rPr>
          <w:b/>
          <w:sz w:val="28"/>
          <w:szCs w:val="28"/>
        </w:rPr>
        <w:t xml:space="preserve"> – 11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993" w:right="48"/>
        <w:spacing w:after="1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ИТОГО – 34 часа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993" w:right="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993" w:right="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</w:rPr>
        <w:t xml:space="preserve">Календарно-тематическое планирование</w:t>
      </w:r>
      <w:r>
        <w:rPr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887"/>
        <w:tblW w:w="9494" w:type="dxa"/>
        <w:tblInd w:w="1155" w:type="dxa"/>
        <w:tblLayout w:type="fixed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707"/>
        <w:gridCol w:w="6444"/>
        <w:gridCol w:w="1003"/>
        <w:gridCol w:w="48"/>
        <w:gridCol w:w="9"/>
        <w:gridCol w:w="1284"/>
      </w:tblGrid>
      <w:tr>
        <w:tblPrEx/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7" w:type="dxa"/>
            <w:vMerge w:val="restart"/>
            <w:textDirection w:val="lrTb"/>
            <w:noWrap w:val="false"/>
          </w:tcPr>
          <w:p>
            <w:pPr>
              <w:ind w:left="121" w:right="20"/>
              <w:jc w:val="center"/>
              <w:spacing w:after="0" w:line="259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№</w:t>
            </w:r>
            <w:r>
              <w:rPr>
                <w:b/>
                <w:szCs w:val="24"/>
              </w:rPr>
              <w:t xml:space="preserve"> п/п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44" w:type="dxa"/>
            <w:vMerge w:val="restart"/>
            <w:textDirection w:val="lrTb"/>
            <w:noWrap w:val="false"/>
          </w:tcPr>
          <w:p>
            <w:pPr>
              <w:ind w:left="121" w:right="20"/>
              <w:jc w:val="center"/>
              <w:spacing w:after="0" w:line="259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Тема занятия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textDirection w:val="lrTb"/>
            <w:noWrap w:val="false"/>
          </w:tcPr>
          <w:p>
            <w:pPr>
              <w:ind w:left="121" w:right="20"/>
              <w:jc w:val="center"/>
              <w:spacing w:after="0" w:line="259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Дата проведения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Merge w:val="continue"/>
            <w:textDirection w:val="lrTb"/>
            <w:noWrap w:val="false"/>
          </w:tcPr>
          <w:p>
            <w:pPr>
              <w:ind w:left="121" w:right="20"/>
              <w:jc w:val="center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4" w:type="dxa"/>
            <w:vMerge w:val="continue"/>
            <w:textDirection w:val="lrTb"/>
            <w:noWrap w:val="false"/>
          </w:tcPr>
          <w:p>
            <w:pPr>
              <w:ind w:left="121" w:right="20"/>
              <w:jc w:val="center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ind w:left="121" w:right="20"/>
              <w:jc w:val="center"/>
              <w:spacing w:after="0" w:line="259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план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jc w:val="center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jc w:val="center"/>
              <w:spacing w:after="0" w:line="259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факт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Введение. Как исполнить свои мечты.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textDirection w:val="lrTb"/>
            <w:noWrap w:val="false"/>
          </w:tcPr>
          <w:p>
            <w:pPr>
              <w:ind w:left="121" w:right="20"/>
              <w:jc w:val="center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05.сен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1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202" w:type="dxa"/>
            <w:textDirection w:val="lrTb"/>
            <w:noWrap w:val="false"/>
          </w:tcPr>
          <w:p>
            <w:pPr>
              <w:ind w:left="121" w:right="20"/>
              <w:jc w:val="center"/>
              <w:spacing w:after="0" w:line="259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Доходы и расходы семьи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Как появились деньги. Виды денег.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12.сен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3.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Деньги. Функции денег.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19.сен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Инфляция.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26.сен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Доходы семьи.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03.окт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Расходы семьи.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10.окт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Семейный бюджет и его виды.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17.окт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Ресурсосберегающие технологии в бюджете семьи.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24.окт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Планирование семейного бюджета.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07.ноя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10.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Составление семейного бюджета.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14.ноя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11.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Уровень жизни и прожиточный минимум.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21.ноя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12.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Личный бюджет.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28.ноя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13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Ролевая игра «Семейный бюджет».</w:t>
            </w:r>
            <w:r>
              <w:rPr>
                <w:rFonts w:eastAsia="Tahoma"/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05.дек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340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494" w:type="dxa"/>
            <w:textDirection w:val="lrTb"/>
            <w:noWrap w:val="false"/>
          </w:tcPr>
          <w:p>
            <w:pPr>
              <w:ind w:left="121" w:right="20"/>
              <w:jc w:val="center"/>
              <w:spacing w:after="160" w:line="259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Риски потери денег и имущества и как человек может от этого защититься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14.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Особые жизненные ситуации и как с ними справиться.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12.дек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15.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Вклады. Сбережения.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19.дек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16.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Страхование как способ защитить свои деньги.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26.дек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17.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Виды страхования.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16.янв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18.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Инвестиции. Как «выращивать» деньги?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23.янв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19.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Возможные </w:t>
            </w:r>
            <w:r>
              <w:rPr>
                <w:szCs w:val="24"/>
              </w:rPr>
              <w:tab/>
              <w:t xml:space="preserve">риски </w:t>
            </w:r>
            <w:r>
              <w:rPr>
                <w:szCs w:val="24"/>
              </w:rPr>
              <w:tab/>
              <w:t xml:space="preserve">при </w:t>
            </w:r>
            <w:r>
              <w:rPr>
                <w:szCs w:val="24"/>
              </w:rPr>
              <w:tab/>
              <w:t xml:space="preserve">сбережениях </w:t>
            </w:r>
            <w:r>
              <w:rPr>
                <w:szCs w:val="24"/>
              </w:rPr>
              <w:tab/>
              <w:t xml:space="preserve">и инвестировании.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30.янв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20.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Потребительский кредит. Его плюсы и минусы.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06.фев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21.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Права </w:t>
            </w:r>
            <w:r>
              <w:rPr>
                <w:szCs w:val="24"/>
              </w:rPr>
              <w:tab/>
              <w:t xml:space="preserve">и </w:t>
            </w:r>
            <w:r>
              <w:rPr>
                <w:szCs w:val="24"/>
              </w:rPr>
              <w:tab/>
              <w:t xml:space="preserve">обязанности кредитополучателя. Ипотечный кредит.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13.фев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22.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Как спасти деньги от «ловушек»? Финансовое мошенничество.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20.фев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23.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Финансовое мошенничество.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27.фев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9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202" w:type="dxa"/>
            <w:textDirection w:val="lrTb"/>
            <w:noWrap w:val="false"/>
          </w:tcPr>
          <w:p>
            <w:pPr>
              <w:ind w:left="121" w:right="20"/>
              <w:jc w:val="center"/>
              <w:spacing w:after="0" w:line="259" w:lineRule="auto"/>
              <w:rPr>
                <w:szCs w:val="24"/>
              </w:rPr>
            </w:pPr>
            <w:r>
              <w:rPr>
                <w:b/>
                <w:szCs w:val="28"/>
              </w:rPr>
              <w:t xml:space="preserve">Финансовый бизнес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24.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Что такое налоги?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06.мар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25.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Типы и виды налогов.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13.мар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26.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Права и обязанности налогоплательщика.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20.мар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27.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Социальные услуги государства.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27.мар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28.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Пенсия.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03.апр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29.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Проект «государство- это мы»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10.апр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30.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Появление банков. Виды банков.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17.апр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31.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Как банк работает. Банковские услуги.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24.апр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32.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Бизнес. Виды бизнеса.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08.май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33.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Черты предпринимателя.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15.май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34.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444" w:type="dxa"/>
            <w:textDirection w:val="lrTb"/>
            <w:noWrap w:val="false"/>
          </w:tcPr>
          <w:p>
            <w:pPr>
              <w:ind w:left="121" w:right="20"/>
              <w:jc w:val="both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Валюта. Итоговый повторительно-обобщающий урок по курсу «Финансовой грамотности».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dxa"/>
            <w:vAlign w:val="bottom"/>
            <w:textDirection w:val="lrTb"/>
            <w:noWrap w:val="false"/>
          </w:tcPr>
          <w:p>
            <w:pPr>
              <w:ind w:left="121" w:right="20"/>
              <w:jc w:val="center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22.май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ind w:left="121" w:right="20"/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4" w:type="dxa"/>
            <w:textDirection w:val="lrTb"/>
            <w:noWrap w:val="false"/>
          </w:tcPr>
          <w:p>
            <w:pPr>
              <w:ind w:left="121" w:right="20"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ind w:left="993" w:right="11114"/>
        <w:spacing w:after="0" w:line="259" w:lineRule="auto"/>
      </w:pPr>
      <w:r/>
      <w:r/>
    </w:p>
    <w:p>
      <w:pPr>
        <w:ind w:left="993"/>
        <w:shd w:val="clear" w:color="auto" w:fill="ffffff"/>
        <w:tabs>
          <w:tab w:val="left" w:pos="571" w:leader="none"/>
        </w:tabs>
        <w:rPr>
          <w:b/>
          <w:color w:val="auto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792" w:bottom="851" w:left="1256" w:header="720" w:footer="720" w:gutter="0"/>
          <w:cols w:num="1" w:sep="0" w:space="720" w:equalWidth="1"/>
          <w:docGrid w:linePitch="360"/>
          <w:titlePg/>
        </w:sectPr>
      </w:pPr>
      <w:r>
        <w:rPr>
          <w:b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r/>
    </w:p>
    <w:sectPr>
      <w:footnotePr/>
      <w:endnotePr/>
      <w:type w:val="continuous"/>
      <w:pgSz w:w="11906" w:h="16838" w:orient="portrait"/>
      <w:pgMar w:top="851" w:right="792" w:bottom="680" w:left="406" w:header="720" w:footer="720" w:gutter="0"/>
      <w:cols w:num="2" w:sep="0" w:space="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Calibri">
    <w:panose1 w:val="020F0502020204030204"/>
  </w:font>
  <w:font w:name="Segoe UI Symbol">
    <w:panose1 w:val="020B0502040504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0580850"/>
      <w:docPartObj>
        <w:docPartGallery w:val="Page Numbers (Bottom of Page)"/>
        <w:docPartUnique w:val="true"/>
      </w:docPartObj>
      <w:rPr/>
    </w:sdtPr>
    <w:sdtContent>
      <w:p>
        <w:pPr>
          <w:pStyle w:val="89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isLgl w:val="false"/>
      <w:suff w:val="tab"/>
      <w:lvlText w:val="%1.%2."/>
      <w:lvlJc w:val="left"/>
      <w:pPr>
        <w:ind w:left="17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isLgl w:val="false"/>
      <w:suff w:val="tab"/>
      <w:lvlText w:val="%1.%2."/>
      <w:lvlJc w:val="left"/>
      <w:pPr>
        <w:ind w:left="17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isLgl w:val="false"/>
      <w:suff w:val="tab"/>
      <w:lvlText w:val="%1.%2."/>
      <w:lvlJc w:val="left"/>
      <w:pPr>
        <w:ind w:left="17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3"/>
      <w:numFmt w:val="decimal"/>
      <w:lvlRestart w:val="0"/>
      <w:isLgl w:val="false"/>
      <w:suff w:val="tab"/>
      <w:lvlText w:val="%1.%2."/>
      <w:lvlJc w:val="left"/>
      <w:pPr>
        <w:ind w:left="12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2016"/>
      </w:pPr>
      <w:rPr>
        <w:rFonts w:ascii="Arial" w:hAnsi="Arial" w:eastAsia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54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Restart w:val="0"/>
      <w:isLgl w:val="false"/>
      <w:suff w:val="tab"/>
      <w:lvlText w:val="•"/>
      <w:lvlJc w:val="left"/>
      <w:pPr>
        <w:ind w:left="2061"/>
      </w:pPr>
      <w:rPr>
        <w:rFonts w:ascii="Arial" w:hAnsi="Arial" w:eastAsia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288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504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690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40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7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4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2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9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6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3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090" w:hanging="180"/>
      </w:pPr>
    </w:lvl>
  </w:abstractNum>
  <w:abstractNum w:abstractNumId="9">
    <w:multiLevelType w:val="hybridMultilevel"/>
    <w:lvl w:ilvl="0">
      <w:start w:val="1"/>
      <w:numFmt w:val="upperRoman"/>
      <w:pStyle w:val="882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438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510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582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654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726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798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870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942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883"/>
    <w:link w:val="882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1"/>
    <w:next w:val="881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3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3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3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3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3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3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1"/>
    <w:next w:val="881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3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1"/>
    <w:next w:val="881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3"/>
    <w:link w:val="726"/>
    <w:uiPriority w:val="10"/>
    <w:rPr>
      <w:sz w:val="48"/>
      <w:szCs w:val="48"/>
    </w:rPr>
  </w:style>
  <w:style w:type="paragraph" w:styleId="728">
    <w:name w:val="Subtitle"/>
    <w:basedOn w:val="881"/>
    <w:next w:val="881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3"/>
    <w:link w:val="728"/>
    <w:uiPriority w:val="11"/>
    <w:rPr>
      <w:sz w:val="24"/>
      <w:szCs w:val="24"/>
    </w:rPr>
  </w:style>
  <w:style w:type="paragraph" w:styleId="730">
    <w:name w:val="Quote"/>
    <w:basedOn w:val="881"/>
    <w:next w:val="881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1"/>
    <w:next w:val="881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3"/>
    <w:link w:val="891"/>
    <w:uiPriority w:val="99"/>
  </w:style>
  <w:style w:type="character" w:styleId="735">
    <w:name w:val="Footer Char"/>
    <w:basedOn w:val="883"/>
    <w:link w:val="893"/>
    <w:uiPriority w:val="99"/>
  </w:style>
  <w:style w:type="paragraph" w:styleId="736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893"/>
    <w:uiPriority w:val="99"/>
  </w:style>
  <w:style w:type="table" w:styleId="738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3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3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ind w:left="1306" w:right="60" w:hanging="10"/>
      <w:spacing w:after="5" w:line="269" w:lineRule="auto"/>
    </w:pPr>
    <w:rPr>
      <w:rFonts w:ascii="Times New Roman" w:hAnsi="Times New Roman" w:eastAsia="Times New Roman" w:cs="Times New Roman"/>
      <w:color w:val="000000"/>
      <w:sz w:val="24"/>
    </w:rPr>
  </w:style>
  <w:style w:type="paragraph" w:styleId="882">
    <w:name w:val="Heading 1"/>
    <w:next w:val="881"/>
    <w:link w:val="886"/>
    <w:uiPriority w:val="9"/>
    <w:unhideWhenUsed/>
    <w:qFormat/>
    <w:pPr>
      <w:numPr>
        <w:ilvl w:val="0"/>
        <w:numId w:val="9"/>
      </w:numPr>
      <w:ind w:left="1602"/>
      <w:jc w:val="center"/>
      <w:keepLines/>
      <w:keepNext/>
      <w:spacing w:after="0"/>
      <w:outlineLvl w:val="0"/>
    </w:pPr>
    <w:rPr>
      <w:rFonts w:ascii="Times New Roman" w:hAnsi="Times New Roman" w:eastAsia="Times New Roman" w:cs="Times New Roman"/>
      <w:b/>
      <w:color w:val="000000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 w:customStyle="1">
    <w:name w:val="Заголовок 1 Знак"/>
    <w:link w:val="882"/>
    <w:rPr>
      <w:rFonts w:ascii="Times New Roman" w:hAnsi="Times New Roman" w:eastAsia="Times New Roman" w:cs="Times New Roman"/>
      <w:b/>
      <w:color w:val="000000"/>
      <w:sz w:val="22"/>
    </w:rPr>
  </w:style>
  <w:style w:type="table" w:styleId="887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88" w:customStyle="1">
    <w:name w:val="Заголовок №1_"/>
    <w:basedOn w:val="883"/>
    <w:link w:val="889"/>
    <w:rPr>
      <w:rFonts w:ascii="Times New Roman" w:hAnsi="Times New Roman" w:eastAsia="Times New Roman" w:cs="Times New Roman"/>
      <w:shd w:val="clear" w:color="auto" w:fill="ffffff"/>
    </w:rPr>
  </w:style>
  <w:style w:type="paragraph" w:styleId="889" w:customStyle="1">
    <w:name w:val="Заголовок №1"/>
    <w:basedOn w:val="881"/>
    <w:link w:val="888"/>
    <w:pPr>
      <w:ind w:left="0" w:right="0" w:firstLine="0"/>
      <w:spacing w:after="240" w:line="0" w:lineRule="atLeast"/>
      <w:shd w:val="clear" w:color="auto" w:fill="ffffff"/>
      <w:outlineLvl w:val="0"/>
    </w:pPr>
    <w:rPr>
      <w:color w:val="auto"/>
      <w:sz w:val="22"/>
    </w:rPr>
  </w:style>
  <w:style w:type="paragraph" w:styleId="890">
    <w:name w:val="List Paragraph"/>
    <w:basedOn w:val="881"/>
    <w:uiPriority w:val="34"/>
    <w:qFormat/>
    <w:pPr>
      <w:contextualSpacing/>
      <w:ind w:left="720"/>
    </w:pPr>
  </w:style>
  <w:style w:type="paragraph" w:styleId="891">
    <w:name w:val="Header"/>
    <w:basedOn w:val="881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 w:customStyle="1">
    <w:name w:val="Верхний колонтитул Знак"/>
    <w:basedOn w:val="883"/>
    <w:link w:val="891"/>
    <w:uiPriority w:val="99"/>
    <w:rPr>
      <w:rFonts w:ascii="Times New Roman" w:hAnsi="Times New Roman" w:eastAsia="Times New Roman" w:cs="Times New Roman"/>
      <w:color w:val="000000"/>
      <w:sz w:val="24"/>
    </w:rPr>
  </w:style>
  <w:style w:type="paragraph" w:styleId="893">
    <w:name w:val="Footer"/>
    <w:basedOn w:val="881"/>
    <w:link w:val="8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4" w:customStyle="1">
    <w:name w:val="Нижний колонтитул Знак"/>
    <w:basedOn w:val="883"/>
    <w:link w:val="893"/>
    <w:uiPriority w:val="99"/>
    <w:rPr>
      <w:rFonts w:ascii="Times New Roman" w:hAnsi="Times New Roman" w:eastAsia="Times New Roman" w:cs="Times New Roman"/>
      <w:color w:val="000000"/>
      <w:sz w:val="24"/>
    </w:rPr>
  </w:style>
  <w:style w:type="paragraph" w:styleId="895">
    <w:name w:val="Balloon Text"/>
    <w:basedOn w:val="881"/>
    <w:link w:val="89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basedOn w:val="883"/>
    <w:link w:val="895"/>
    <w:uiPriority w:val="99"/>
    <w:semiHidden/>
    <w:rPr>
      <w:rFonts w:ascii="Segoe UI" w:hAnsi="Segoe UI" w:eastAsia="Times New Roman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ЮРИЙ ГУРДЕСОВ</cp:lastModifiedBy>
  <cp:revision>6</cp:revision>
  <dcterms:created xsi:type="dcterms:W3CDTF">2023-09-24T14:13:00Z</dcterms:created>
  <dcterms:modified xsi:type="dcterms:W3CDTF">2025-09-30T06:44:02Z</dcterms:modified>
</cp:coreProperties>
</file>