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E16" w:rsidRPr="004A3BC6" w:rsidRDefault="00141E16" w:rsidP="00141E16">
      <w:pPr>
        <w:shd w:val="clear" w:color="auto" w:fill="FFFFFF"/>
        <w:spacing w:after="0" w:line="240" w:lineRule="auto"/>
        <w:ind w:left="142" w:firstLine="2977"/>
        <w:jc w:val="center"/>
        <w:rPr>
          <w:rFonts w:ascii="Times New Roman" w:hAnsi="Times New Roman"/>
          <w:color w:val="000000"/>
          <w:sz w:val="28"/>
          <w:szCs w:val="28"/>
        </w:rPr>
      </w:pPr>
      <w:r w:rsidRPr="004A3BC6">
        <w:rPr>
          <w:rFonts w:ascii="Times New Roman" w:hAnsi="Times New Roman"/>
          <w:color w:val="000000"/>
          <w:sz w:val="28"/>
          <w:szCs w:val="28"/>
        </w:rPr>
        <w:t>УТВЕРЖДАЮ</w:t>
      </w:r>
    </w:p>
    <w:p w:rsidR="00141E16" w:rsidRPr="004A3BC6" w:rsidRDefault="00141E16" w:rsidP="00141E16">
      <w:pPr>
        <w:shd w:val="clear" w:color="auto" w:fill="FFFFFF"/>
        <w:spacing w:after="0" w:line="240" w:lineRule="auto"/>
        <w:ind w:left="142"/>
        <w:jc w:val="center"/>
        <w:rPr>
          <w:rFonts w:ascii="Times New Roman" w:hAnsi="Times New Roman"/>
          <w:color w:val="000000"/>
          <w:sz w:val="28"/>
          <w:szCs w:val="28"/>
        </w:rPr>
      </w:pPr>
      <w:r w:rsidRPr="004A3BC6">
        <w:rPr>
          <w:rFonts w:ascii="Times New Roman" w:hAnsi="Times New Roman"/>
          <w:color w:val="000000"/>
          <w:sz w:val="28"/>
          <w:szCs w:val="28"/>
        </w:rPr>
        <w:t xml:space="preserve">                                                                       Директор МБУК «</w:t>
      </w:r>
      <w:r>
        <w:rPr>
          <w:rFonts w:ascii="Times New Roman" w:hAnsi="Times New Roman"/>
          <w:color w:val="000000"/>
          <w:sz w:val="28"/>
          <w:szCs w:val="28"/>
        </w:rPr>
        <w:t>ДК с. Витязево</w:t>
      </w:r>
      <w:r w:rsidRPr="004A3BC6">
        <w:rPr>
          <w:rFonts w:ascii="Times New Roman" w:hAnsi="Times New Roman"/>
          <w:color w:val="000000"/>
          <w:sz w:val="28"/>
          <w:szCs w:val="28"/>
        </w:rPr>
        <w:t>»</w:t>
      </w:r>
    </w:p>
    <w:p w:rsidR="00141E16" w:rsidRPr="004A3BC6" w:rsidRDefault="00141E16" w:rsidP="00141E16">
      <w:pPr>
        <w:shd w:val="clear" w:color="auto" w:fill="FFFFFF"/>
        <w:spacing w:after="0" w:line="240" w:lineRule="auto"/>
        <w:ind w:left="142"/>
        <w:jc w:val="center"/>
        <w:rPr>
          <w:rFonts w:ascii="Times New Roman" w:hAnsi="Times New Roman"/>
          <w:color w:val="000000"/>
          <w:sz w:val="28"/>
          <w:szCs w:val="28"/>
        </w:rPr>
      </w:pPr>
    </w:p>
    <w:p w:rsidR="00141E16" w:rsidRDefault="00141E16" w:rsidP="00141E16">
      <w:pPr>
        <w:shd w:val="clear" w:color="auto" w:fill="FFFFFF"/>
        <w:spacing w:after="0" w:line="240" w:lineRule="auto"/>
        <w:ind w:left="142"/>
        <w:jc w:val="center"/>
        <w:rPr>
          <w:rFonts w:ascii="Times New Roman" w:hAnsi="Times New Roman"/>
          <w:color w:val="000000"/>
          <w:sz w:val="28"/>
          <w:szCs w:val="28"/>
        </w:rPr>
      </w:pPr>
      <w:r w:rsidRPr="004A3BC6">
        <w:rPr>
          <w:rFonts w:ascii="Times New Roman" w:hAnsi="Times New Roman"/>
          <w:color w:val="000000"/>
          <w:sz w:val="28"/>
          <w:szCs w:val="28"/>
        </w:rPr>
        <w:t xml:space="preserve">                                                                 </w:t>
      </w:r>
      <w:r>
        <w:rPr>
          <w:rFonts w:ascii="Times New Roman" w:hAnsi="Times New Roman"/>
          <w:color w:val="000000"/>
          <w:sz w:val="28"/>
          <w:szCs w:val="28"/>
        </w:rPr>
        <w:t xml:space="preserve">       </w:t>
      </w:r>
      <w:r w:rsidRPr="004A3BC6">
        <w:rPr>
          <w:rFonts w:ascii="Times New Roman" w:hAnsi="Times New Roman"/>
          <w:color w:val="000000"/>
          <w:sz w:val="28"/>
          <w:szCs w:val="28"/>
        </w:rPr>
        <w:t xml:space="preserve">______________ </w:t>
      </w:r>
      <w:r>
        <w:rPr>
          <w:rFonts w:ascii="Times New Roman" w:hAnsi="Times New Roman"/>
          <w:color w:val="000000"/>
          <w:sz w:val="28"/>
          <w:szCs w:val="28"/>
        </w:rPr>
        <w:t>М.Ю. Петракова</w:t>
      </w:r>
    </w:p>
    <w:p w:rsidR="00141E16" w:rsidRPr="004A3BC6" w:rsidRDefault="00141E16" w:rsidP="00141E16">
      <w:pPr>
        <w:shd w:val="clear" w:color="auto" w:fill="FFFFFF"/>
        <w:spacing w:after="0" w:line="240" w:lineRule="auto"/>
        <w:ind w:left="142"/>
        <w:jc w:val="center"/>
        <w:rPr>
          <w:rFonts w:ascii="Times New Roman" w:hAnsi="Times New Roman"/>
          <w:color w:val="000000"/>
          <w:sz w:val="28"/>
          <w:szCs w:val="28"/>
        </w:rPr>
      </w:pPr>
      <w:r w:rsidRPr="004A3BC6">
        <w:rPr>
          <w:rFonts w:ascii="Times New Roman" w:hAnsi="Times New Roman"/>
          <w:color w:val="000000"/>
          <w:sz w:val="28"/>
          <w:szCs w:val="28"/>
        </w:rPr>
        <w:t xml:space="preserve">                                                                                              «30» марта 201</w:t>
      </w:r>
      <w:r>
        <w:rPr>
          <w:rFonts w:ascii="Times New Roman" w:hAnsi="Times New Roman"/>
          <w:color w:val="000000"/>
          <w:sz w:val="28"/>
          <w:szCs w:val="28"/>
        </w:rPr>
        <w:t>8</w:t>
      </w:r>
      <w:r w:rsidRPr="004A3BC6">
        <w:rPr>
          <w:rFonts w:ascii="Times New Roman" w:hAnsi="Times New Roman"/>
          <w:color w:val="000000"/>
          <w:sz w:val="28"/>
          <w:szCs w:val="28"/>
        </w:rPr>
        <w:t>г</w:t>
      </w:r>
    </w:p>
    <w:p w:rsidR="00141E16" w:rsidRDefault="00141E16" w:rsidP="00141E16">
      <w:pPr>
        <w:shd w:val="clear" w:color="auto" w:fill="FFFFFF"/>
        <w:spacing w:before="275" w:after="138" w:line="240" w:lineRule="auto"/>
        <w:ind w:firstLine="567"/>
        <w:jc w:val="center"/>
        <w:outlineLvl w:val="2"/>
        <w:rPr>
          <w:rFonts w:ascii="Arial" w:eastAsia="Times New Roman" w:hAnsi="Arial" w:cs="Arial"/>
          <w:color w:val="000000"/>
          <w:sz w:val="30"/>
          <w:szCs w:val="30"/>
        </w:rPr>
      </w:pPr>
    </w:p>
    <w:p w:rsidR="00740AE4" w:rsidRPr="00141E16" w:rsidRDefault="00740AE4" w:rsidP="00141E16">
      <w:pPr>
        <w:shd w:val="clear" w:color="auto" w:fill="FFFFFF"/>
        <w:spacing w:after="0" w:line="240" w:lineRule="auto"/>
        <w:ind w:firstLine="567"/>
        <w:jc w:val="center"/>
        <w:rPr>
          <w:rFonts w:ascii="Arial" w:eastAsia="Times New Roman" w:hAnsi="Arial" w:cs="Arial"/>
          <w:b/>
          <w:color w:val="000000"/>
          <w:sz w:val="16"/>
          <w:szCs w:val="16"/>
        </w:rPr>
      </w:pPr>
      <w:bookmarkStart w:id="0" w:name="_GoBack"/>
      <w:proofErr w:type="spellStart"/>
      <w:r w:rsidRPr="00141E16">
        <w:rPr>
          <w:rFonts w:ascii="Times New Roman" w:eastAsia="Times New Roman" w:hAnsi="Times New Roman" w:cs="Times New Roman"/>
          <w:b/>
          <w:color w:val="000000"/>
          <w:sz w:val="28"/>
          <w:szCs w:val="28"/>
        </w:rPr>
        <w:t>Коррупциогенная</w:t>
      </w:r>
      <w:proofErr w:type="spellEnd"/>
      <w:r w:rsidRPr="00141E16">
        <w:rPr>
          <w:rFonts w:ascii="Times New Roman" w:eastAsia="Times New Roman" w:hAnsi="Times New Roman" w:cs="Times New Roman"/>
          <w:b/>
          <w:color w:val="000000"/>
          <w:sz w:val="28"/>
          <w:szCs w:val="28"/>
        </w:rPr>
        <w:t xml:space="preserve"> карта руководителя</w:t>
      </w:r>
    </w:p>
    <w:bookmarkEnd w:id="0"/>
    <w:p w:rsidR="00740AE4" w:rsidRPr="00740AE4" w:rsidRDefault="00740AE4" w:rsidP="00141E16">
      <w:pPr>
        <w:shd w:val="clear" w:color="auto" w:fill="FFFFFF"/>
        <w:spacing w:after="0" w:line="240" w:lineRule="auto"/>
        <w:ind w:firstLine="567"/>
        <w:jc w:val="center"/>
        <w:rPr>
          <w:rFonts w:ascii="Arial" w:eastAsia="Times New Roman" w:hAnsi="Arial" w:cs="Arial"/>
          <w:color w:val="000000"/>
          <w:sz w:val="16"/>
          <w:szCs w:val="16"/>
        </w:rPr>
      </w:pPr>
      <w:r w:rsidRPr="00740AE4">
        <w:rPr>
          <w:rFonts w:ascii="Arial" w:eastAsia="Times New Roman" w:hAnsi="Arial" w:cs="Arial"/>
          <w:color w:val="000000"/>
          <w:sz w:val="16"/>
          <w:szCs w:val="16"/>
        </w:rPr>
        <w:t> </w:t>
      </w:r>
    </w:p>
    <w:p w:rsidR="00141E16" w:rsidRDefault="00141E16" w:rsidP="00141E16">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Цель: Создание и внедрение организационно-правовых механизмов, нравственно психической атмосферы, направленных на эффективную профилактику коррупции в муниципальном бюджетном учреждении культуры «</w:t>
      </w:r>
      <w:r w:rsidR="00527FDC">
        <w:rPr>
          <w:rFonts w:ascii="Times New Roman" w:eastAsia="Times New Roman" w:hAnsi="Times New Roman" w:cs="Times New Roman"/>
          <w:color w:val="000000"/>
          <w:sz w:val="28"/>
          <w:szCs w:val="28"/>
        </w:rPr>
        <w:t>Дом культуры села Витязево</w:t>
      </w:r>
      <w:r w:rsidRPr="00740AE4">
        <w:rPr>
          <w:rFonts w:ascii="Times New Roman" w:eastAsia="Times New Roman" w:hAnsi="Times New Roman" w:cs="Times New Roman"/>
          <w:color w:val="000000"/>
          <w:sz w:val="28"/>
          <w:szCs w:val="28"/>
        </w:rPr>
        <w:t>» муниципального образования город-курорт Анапа» (далее - учреждение).</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Arial" w:eastAsia="Times New Roman" w:hAnsi="Arial" w:cs="Arial"/>
          <w:color w:val="000000"/>
          <w:sz w:val="16"/>
          <w:szCs w:val="16"/>
        </w:rPr>
        <w:t> </w:t>
      </w:r>
      <w:r w:rsidRPr="00740AE4">
        <w:rPr>
          <w:rFonts w:ascii="Times New Roman" w:eastAsia="Times New Roman" w:hAnsi="Times New Roman" w:cs="Times New Roman"/>
          <w:color w:val="000000"/>
          <w:sz w:val="28"/>
          <w:szCs w:val="28"/>
        </w:rPr>
        <w:t>Задачи:</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1. Принятие кодекса этики и служебного поведения работников учреждения;</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2. Принятие Порядка уведомления о склонении к совершению коррупционных нарушений;</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3. Введение антикоррупционных положений в трудовые договоры с работниками учреждения;</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4. Обучение и информирование работников учреждения;</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5. Выявление и устранение причин, способствующих коррупции в учреждении;</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6. Совершенствование методов обучения нравственным нормам, основам устойчивой деятельности против коррупции;</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7. Разработка и внедрение организационно-правовых механизмов, снимающих возможность коррупционных действий;</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 xml:space="preserve">8. Содействие реализации гражданам доступа к информации о фактах коррупции </w:t>
      </w:r>
      <w:proofErr w:type="spellStart"/>
      <w:r w:rsidRPr="00740AE4">
        <w:rPr>
          <w:rFonts w:ascii="Times New Roman" w:eastAsia="Times New Roman" w:hAnsi="Times New Roman" w:cs="Times New Roman"/>
          <w:color w:val="000000"/>
          <w:sz w:val="28"/>
          <w:szCs w:val="28"/>
        </w:rPr>
        <w:t>коррупциогенных</w:t>
      </w:r>
      <w:proofErr w:type="spellEnd"/>
      <w:r w:rsidRPr="00740AE4">
        <w:rPr>
          <w:rFonts w:ascii="Times New Roman" w:eastAsia="Times New Roman" w:hAnsi="Times New Roman" w:cs="Times New Roman"/>
          <w:color w:val="000000"/>
          <w:sz w:val="28"/>
          <w:szCs w:val="28"/>
        </w:rPr>
        <w:t xml:space="preserve"> факторов;</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9. Осуществление подбора и расстановка кадров, утверждение структуры и штатного расписания учреждения;</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10. Закрепление ответственности работников учреждения за несоблюдение требований антикоррупционной политики.</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Arial" w:eastAsia="Times New Roman" w:hAnsi="Arial" w:cs="Arial"/>
          <w:color w:val="000000"/>
          <w:sz w:val="16"/>
          <w:szCs w:val="16"/>
        </w:rPr>
        <w:t> </w:t>
      </w:r>
    </w:p>
    <w:p w:rsidR="00740AE4" w:rsidRPr="00740AE4" w:rsidRDefault="00740AE4" w:rsidP="00141E16">
      <w:pPr>
        <w:shd w:val="clear" w:color="auto" w:fill="FFFFFF"/>
        <w:spacing w:after="0" w:line="240" w:lineRule="auto"/>
        <w:ind w:firstLine="567"/>
        <w:jc w:val="center"/>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Используемые в методике понятия и определения.</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 xml:space="preserve">1.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1 для себя или для третьих лиц либо незаконное предоставление такой выгоды указанному перечисленных деяний от имени или в интересах юридического лица (пункт 1 </w:t>
      </w:r>
      <w:r w:rsidRPr="00740AE4">
        <w:rPr>
          <w:rFonts w:ascii="Times New Roman" w:eastAsia="Times New Roman" w:hAnsi="Times New Roman" w:cs="Times New Roman"/>
          <w:color w:val="000000"/>
          <w:sz w:val="28"/>
          <w:szCs w:val="28"/>
        </w:rPr>
        <w:lastRenderedPageBreak/>
        <w:t>статьи 1 Федерального закона от 25 декабря 2008 года № 273- ФЗ «О противодействии коррупции»).</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 в) по минимизации и (или) ликвидации последствий коррупционных правонарушений (пункт 2 статьи 1 Федерального закона от 25 декабря 2008 года № 273-ФЗ «О противодействии коррупции»).</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3. Взятка – получение должностным лицом лично или через посредника денег, ценных бумаг, иного имущества либо в виде незаконного оказания ему услуг имущественного характера, представления иных имущественных прав за совершение действий (бездействий) в пользу взяткодателя или представляемых им лиц, если такие действия (бездействия) входят в служебные положения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Взяткой могут быть: Предметы — деньги, в том числе иностранная валюта, иные валютные ценности, ценные бумаги, продовольственные и промышленные товары, недвижимое имущество и др. Услуги и выгоды имущественного характера, оказываемые взяткополучателю безвозмездно, хотя в принципе они подлежат оплате, или явно по заниженной стоимости. Таковыми могут быть предоставление санаторных или туристических путевок, проездных билетов, оплата расходов и развлечений должностного лица, производство ремонтных, строительных, реставрационных и других работ и т.д.</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4. Получение взятки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2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(пункт 1, статьи 290 Уголовного кодекса Российской Федерации" от 13.06.1996 N 63-ФЗ (с изменениями и дополнениями)).</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 xml:space="preserve">5. Дача взятки – преступление, которое заключается в даче должностному лицу, иностранному должностному лицу либо должностному лицу публичной </w:t>
      </w:r>
      <w:r w:rsidRPr="00740AE4">
        <w:rPr>
          <w:rFonts w:ascii="Times New Roman" w:eastAsia="Times New Roman" w:hAnsi="Times New Roman" w:cs="Times New Roman"/>
          <w:color w:val="000000"/>
          <w:sz w:val="28"/>
          <w:szCs w:val="28"/>
        </w:rPr>
        <w:lastRenderedPageBreak/>
        <w:t xml:space="preserve">международной организации лично или через посредника (в том </w:t>
      </w:r>
      <w:proofErr w:type="gramStart"/>
      <w:r w:rsidRPr="00740AE4">
        <w:rPr>
          <w:rFonts w:ascii="Times New Roman" w:eastAsia="Times New Roman" w:hAnsi="Times New Roman" w:cs="Times New Roman"/>
          <w:color w:val="000000"/>
          <w:sz w:val="28"/>
          <w:szCs w:val="28"/>
        </w:rPr>
        <w:t>числе</w:t>
      </w:r>
      <w:proofErr w:type="gramEnd"/>
      <w:r w:rsidRPr="00740AE4">
        <w:rPr>
          <w:rFonts w:ascii="Times New Roman" w:eastAsia="Times New Roman" w:hAnsi="Times New Roman" w:cs="Times New Roman"/>
          <w:color w:val="000000"/>
          <w:sz w:val="28"/>
          <w:szCs w:val="28"/>
        </w:rPr>
        <w:t xml:space="preserve"> когда взятка по указанию должностного лица передается иному физическому или юридическому лицу), (пункт 1, статьи 291 Уголовного кодекса Российской Федерации" от 13.06.1996 N 63-ФЗ (с изменениями и дополнениями)).</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6. Завуалированная форма взятки – это предоставление взяткополучателю иных выгод имущественного характера: прощение долга, оплата долга должностного лица, отзыв имущественного иска из суда, предоставление в безвозмездное (или по явно заниженной стоимости) пользование какого-либо имущества, получение кредита на льготных условиях,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7. 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(пункт 1, статьи 204 Уголовного кодекса Российской Федерации" от 13.06.1996 N 63-ФЗ (с изменениями и дополнениями)).</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8. Провокация взятки либо коммерческий подкуп - то есть 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 (статья 304 Уголовного кодекса 3 Российской Федерации" от 13.06.1996 N 63-ФЗ (с изменениями и дополнениями)).</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9. Контрагент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 xml:space="preserve">10. Иностранное должностное лицо -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w:t>
      </w:r>
      <w:r w:rsidRPr="00740AE4">
        <w:rPr>
          <w:rFonts w:ascii="Times New Roman" w:eastAsia="Times New Roman" w:hAnsi="Times New Roman" w:cs="Times New Roman"/>
          <w:color w:val="000000"/>
          <w:sz w:val="28"/>
          <w:szCs w:val="28"/>
        </w:rPr>
        <w:lastRenderedPageBreak/>
        <w:t>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11. Личная заинтересованность работника (представителя учреждения) - заинтересованность работника (представителя учреждения), связанная с возможностью получения работником (представителем учреждения)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40AE4" w:rsidRPr="00740AE4" w:rsidRDefault="00740AE4" w:rsidP="00141E16">
      <w:pPr>
        <w:shd w:val="clear" w:color="auto" w:fill="FFFFFF"/>
        <w:spacing w:after="0" w:line="240" w:lineRule="auto"/>
        <w:ind w:firstLine="567"/>
        <w:jc w:val="both"/>
        <w:rPr>
          <w:rFonts w:ascii="Arial" w:eastAsia="Times New Roman" w:hAnsi="Arial" w:cs="Arial"/>
          <w:color w:val="000000"/>
          <w:sz w:val="16"/>
          <w:szCs w:val="16"/>
        </w:rPr>
      </w:pPr>
      <w:r w:rsidRPr="00740AE4">
        <w:rPr>
          <w:rFonts w:ascii="Arial" w:eastAsia="Times New Roman" w:hAnsi="Arial" w:cs="Arial"/>
          <w:color w:val="000000"/>
          <w:sz w:val="16"/>
          <w:szCs w:val="16"/>
        </w:rPr>
        <w:t> </w:t>
      </w:r>
    </w:p>
    <w:p w:rsidR="00740AE4" w:rsidRPr="00740AE4" w:rsidRDefault="00740AE4" w:rsidP="00141E16">
      <w:pPr>
        <w:shd w:val="clear" w:color="auto" w:fill="FFFFFF"/>
        <w:spacing w:after="0" w:line="240" w:lineRule="auto"/>
        <w:ind w:firstLine="567"/>
        <w:jc w:val="center"/>
        <w:rPr>
          <w:rFonts w:ascii="Arial" w:eastAsia="Times New Roman" w:hAnsi="Arial" w:cs="Arial"/>
          <w:color w:val="000000"/>
          <w:sz w:val="16"/>
          <w:szCs w:val="16"/>
        </w:rPr>
      </w:pPr>
      <w:r w:rsidRPr="00740AE4">
        <w:rPr>
          <w:rFonts w:ascii="Times New Roman" w:eastAsia="Times New Roman" w:hAnsi="Times New Roman" w:cs="Times New Roman"/>
          <w:color w:val="000000"/>
          <w:sz w:val="28"/>
          <w:szCs w:val="28"/>
        </w:rPr>
        <w:t>Реализуемые учреждением антикоррупционные мероприятия</w:t>
      </w:r>
    </w:p>
    <w:p w:rsidR="00740AE4" w:rsidRPr="00740AE4" w:rsidRDefault="00740AE4" w:rsidP="00141E16">
      <w:pPr>
        <w:shd w:val="clear" w:color="auto" w:fill="FFFFFF"/>
        <w:spacing w:after="0" w:line="240" w:lineRule="auto"/>
        <w:ind w:firstLine="567"/>
        <w:rPr>
          <w:rFonts w:ascii="Arial" w:eastAsia="Times New Roman" w:hAnsi="Arial" w:cs="Arial"/>
          <w:color w:val="000000"/>
          <w:sz w:val="16"/>
          <w:szCs w:val="16"/>
        </w:rPr>
      </w:pPr>
      <w:r w:rsidRPr="00740AE4">
        <w:rPr>
          <w:rFonts w:ascii="Arial" w:eastAsia="Times New Roman" w:hAnsi="Arial" w:cs="Arial"/>
          <w:color w:val="000000"/>
          <w:sz w:val="16"/>
          <w:szCs w:val="16"/>
        </w:rPr>
        <w:t>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959"/>
        <w:gridCol w:w="3826"/>
        <w:gridCol w:w="2393"/>
        <w:gridCol w:w="2393"/>
      </w:tblGrid>
      <w:tr w:rsidR="00740AE4" w:rsidRPr="00740AE4" w:rsidTr="00740AE4">
        <w:tc>
          <w:tcPr>
            <w:tcW w:w="9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 п/п</w:t>
            </w:r>
          </w:p>
        </w:tc>
        <w:tc>
          <w:tcPr>
            <w:tcW w:w="38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Наименование мероприятия</w:t>
            </w:r>
          </w:p>
        </w:tc>
        <w:tc>
          <w:tcPr>
            <w:tcW w:w="23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Срок исполнения</w:t>
            </w:r>
          </w:p>
        </w:tc>
        <w:tc>
          <w:tcPr>
            <w:tcW w:w="23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Ответственные лица за исполнения мероприятий</w:t>
            </w:r>
          </w:p>
        </w:tc>
      </w:tr>
      <w:tr w:rsidR="00740AE4" w:rsidRPr="00740AE4" w:rsidTr="00740AE4">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1</w:t>
            </w:r>
          </w:p>
        </w:tc>
        <w:tc>
          <w:tcPr>
            <w:tcW w:w="3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Меры по нормативному обеспечению противодействия коррупции: - Совершенствование механизмов антикоррупционной экспертизы нормативно-правовых актов в учреждении. Экспертиза действующих нормативно-правовых актов учреждении, подлежащих проверке на коррумпированность.</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Постоянно</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Комиссия по противодействию коррупции</w:t>
            </w:r>
          </w:p>
        </w:tc>
      </w:tr>
      <w:tr w:rsidR="00740AE4" w:rsidRPr="00740AE4" w:rsidTr="00740AE4">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2</w:t>
            </w:r>
          </w:p>
        </w:tc>
        <w:tc>
          <w:tcPr>
            <w:tcW w:w="3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Формирование пакета документов по действующему законодательству, необходимого для организации работы по предупреждению коррупционных проявлений. Ведение журнала учета сообщений о совершении коррупционных правонарушений работниками учреждения.</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По мере необходимости</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Ответственный за профилактику коррупционных и иных правонарушений.</w:t>
            </w:r>
          </w:p>
        </w:tc>
      </w:tr>
      <w:tr w:rsidR="00740AE4" w:rsidRPr="00740AE4" w:rsidTr="00740AE4">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3</w:t>
            </w:r>
          </w:p>
        </w:tc>
        <w:tc>
          <w:tcPr>
            <w:tcW w:w="3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Разработка и реализация плана антикоррупционной деятельности на 2018 год. Своевременная корректировка и введение в действие, с учетом возможных изменений в законодательстве.</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По мере необходимости</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Ответственный за профилактику коррупционных и иных правонарушений.</w:t>
            </w:r>
          </w:p>
        </w:tc>
      </w:tr>
      <w:tr w:rsidR="00740AE4" w:rsidRPr="00740AE4" w:rsidTr="00740AE4">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4</w:t>
            </w:r>
          </w:p>
        </w:tc>
        <w:tc>
          <w:tcPr>
            <w:tcW w:w="3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 xml:space="preserve">Разработка системы мер, направленных на совершенствование осуществления руководства учреждения. Усиление персональной ответственности  работников за неправомерно принятые решения </w:t>
            </w:r>
            <w:r w:rsidRPr="00740AE4">
              <w:rPr>
                <w:rFonts w:ascii="Times New Roman" w:eastAsia="Times New Roman" w:hAnsi="Times New Roman" w:cs="Times New Roman"/>
                <w:sz w:val="24"/>
                <w:szCs w:val="24"/>
              </w:rPr>
              <w:lastRenderedPageBreak/>
              <w:t>в рамках служебных полномочий.</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lastRenderedPageBreak/>
              <w:t>Постоянно</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Ответственный за профилактику коррупционных и иных правонарушений.</w:t>
            </w:r>
          </w:p>
        </w:tc>
      </w:tr>
      <w:tr w:rsidR="00740AE4" w:rsidRPr="00740AE4" w:rsidTr="00740AE4">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lastRenderedPageBreak/>
              <w:t>5</w:t>
            </w:r>
          </w:p>
        </w:tc>
        <w:tc>
          <w:tcPr>
            <w:tcW w:w="3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Ежегодное рассмотрение вопросов исполнения законодательства о борьбе с коррупцией на совещаниях при руководителе, оперативных совещаниях. Привлечение к дисциплинарной ответственности  работников не принимающих мер по обеспечению исполнения антикоррупционного законодательства.</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Согласно плана</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Ответственный за профилактику коррупционных и иных правонарушений</w:t>
            </w:r>
          </w:p>
        </w:tc>
      </w:tr>
      <w:tr w:rsidR="00740AE4" w:rsidRPr="00740AE4" w:rsidTr="00740AE4">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6</w:t>
            </w:r>
          </w:p>
        </w:tc>
        <w:tc>
          <w:tcPr>
            <w:tcW w:w="3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Анализ и уточнение должностных обязанностей работников, исполнение которых в наибольшей мере подвержено риску коррупционных проявлений</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По мере необходимости</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Комиссия по противодействию коррупции</w:t>
            </w:r>
          </w:p>
        </w:tc>
      </w:tr>
      <w:tr w:rsidR="00740AE4" w:rsidRPr="00740AE4" w:rsidTr="00740AE4">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7</w:t>
            </w:r>
          </w:p>
        </w:tc>
        <w:tc>
          <w:tcPr>
            <w:tcW w:w="3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 xml:space="preserve">Меры по совершенствованию управления в целях предупреждения </w:t>
            </w:r>
            <w:proofErr w:type="gramStart"/>
            <w:r w:rsidRPr="00740AE4">
              <w:rPr>
                <w:rFonts w:ascii="Times New Roman" w:eastAsia="Times New Roman" w:hAnsi="Times New Roman" w:cs="Times New Roman"/>
                <w:sz w:val="24"/>
                <w:szCs w:val="24"/>
              </w:rPr>
              <w:t>коррупции .</w:t>
            </w:r>
            <w:proofErr w:type="gramEnd"/>
            <w:r w:rsidRPr="00740AE4">
              <w:rPr>
                <w:rFonts w:ascii="Times New Roman" w:eastAsia="Times New Roman" w:hAnsi="Times New Roman" w:cs="Times New Roman"/>
                <w:sz w:val="24"/>
                <w:szCs w:val="24"/>
              </w:rPr>
              <w:t xml:space="preserve"> Организация информированного взаимодействия в целях предупреждения коррупции . Информационное взаимодействие руководителя и структурных подразделений с подразделениями правоохранительных органов, занимающихся вопросами коррупции.</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Постоянно</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Ответственный за профилактику коррупционных и иных правонарушений</w:t>
            </w:r>
          </w:p>
        </w:tc>
      </w:tr>
      <w:tr w:rsidR="00740AE4" w:rsidRPr="00740AE4" w:rsidTr="00740AE4">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8</w:t>
            </w:r>
          </w:p>
        </w:tc>
        <w:tc>
          <w:tcPr>
            <w:tcW w:w="3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Регламентация использования имущества и ресурсов учреждения. Организация систематического контроля за выполнением актов выполненных работ по проведению ремонта учреждения</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По мере необходимости</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Ответственный за профилактику коррупционных и иных правонарушений</w:t>
            </w:r>
          </w:p>
        </w:tc>
      </w:tr>
      <w:tr w:rsidR="00740AE4" w:rsidRPr="00740AE4" w:rsidTr="00740AE4">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9</w:t>
            </w:r>
          </w:p>
        </w:tc>
        <w:tc>
          <w:tcPr>
            <w:tcW w:w="3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Организация контроля за использованием: средств бюджета учреждения государственного имущества финансово- хозяйственной деятельностью учреждения, в том числе: законности формирования средств; распределения стимулирующей части фонда оплаты труда</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Постоянно</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Ответственный за профилактику коррупционных и иных правонарушений</w:t>
            </w:r>
          </w:p>
        </w:tc>
      </w:tr>
      <w:tr w:rsidR="00740AE4" w:rsidRPr="00740AE4" w:rsidTr="00740AE4">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10</w:t>
            </w:r>
          </w:p>
        </w:tc>
        <w:tc>
          <w:tcPr>
            <w:tcW w:w="3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 xml:space="preserve">Обеспечение граждан на доступность к информации о системе здравоохранения учреждения - Использование прямых телефонных линий с </w:t>
            </w:r>
            <w:r w:rsidRPr="00740AE4">
              <w:rPr>
                <w:rFonts w:ascii="Times New Roman" w:eastAsia="Times New Roman" w:hAnsi="Times New Roman" w:cs="Times New Roman"/>
                <w:sz w:val="24"/>
                <w:szCs w:val="24"/>
              </w:rPr>
              <w:lastRenderedPageBreak/>
              <w:t>руководством учреждения в целях выявления фактов вымогательства, взяточничества и других проявлений коррупции, а также для более активного привлечения общественности к борьбе с данными правонарушениями. Организация личного приема граждан администрацией учреждения. Осуществление контроля за соблюдением действующего законодательства в части оказания платных дополнительных услуг.</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lastRenderedPageBreak/>
              <w:t>Постоянно</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Ответственный за профилактику коррупционных и иных правонарушений</w:t>
            </w:r>
          </w:p>
        </w:tc>
      </w:tr>
      <w:tr w:rsidR="00740AE4" w:rsidRPr="00740AE4" w:rsidTr="00740AE4">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lastRenderedPageBreak/>
              <w:t>11</w:t>
            </w:r>
          </w:p>
        </w:tc>
        <w:tc>
          <w:tcPr>
            <w:tcW w:w="3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Систематический контроль за выполнением законодательства о противодействии коррупции в учреждении при организации работы по вопросам охраны труда.</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Постоянно</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Ответственный за профилактику коррупционных и иных правонарушений</w:t>
            </w:r>
          </w:p>
        </w:tc>
      </w:tr>
      <w:tr w:rsidR="00740AE4" w:rsidRPr="00740AE4" w:rsidTr="00740AE4">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12</w:t>
            </w:r>
          </w:p>
        </w:tc>
        <w:tc>
          <w:tcPr>
            <w:tcW w:w="3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Совершенствование деятельности сотрудников учреждения. Обработка поступающих в учреждение сообщений о коррупционных проявлениях. Осуществление экспертизы жалоб и обращений граждан, поступающих через системы общего пользования (электронный, почтовый, адреса, телефон) на действия (бездействия) заведующих и работников учреждения; с точки зрения наличия сведений о фактах коррупции и организация их проверки</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Постоянно</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Ответственный за профилактику коррупционных и иных правонарушений</w:t>
            </w:r>
          </w:p>
        </w:tc>
      </w:tr>
      <w:tr w:rsidR="00740AE4" w:rsidRPr="00740AE4" w:rsidTr="00740AE4">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13</w:t>
            </w:r>
          </w:p>
        </w:tc>
        <w:tc>
          <w:tcPr>
            <w:tcW w:w="3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Активизация работы по формированию отрицательного отношения работников к коррупции, проведение разъяснительной работы, в целях противодействия коррупции в т.ч. отрицательного отношения, касающегося получения подарков (под роспись) - Участие в обучающих мероприятиях по вопросам профилактики и противодействия коррупции и индивидуального консультирования работников учреждения в т.ч. наличие информационных стендов в учреждении подразделениях</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Постоянно</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0AE4" w:rsidRPr="00740AE4" w:rsidRDefault="00740AE4" w:rsidP="00141E16">
            <w:pPr>
              <w:spacing w:after="0" w:line="240" w:lineRule="auto"/>
              <w:ind w:firstLine="567"/>
              <w:rPr>
                <w:rFonts w:ascii="Times New Roman" w:eastAsia="Times New Roman" w:hAnsi="Times New Roman" w:cs="Times New Roman"/>
                <w:sz w:val="24"/>
                <w:szCs w:val="24"/>
              </w:rPr>
            </w:pPr>
            <w:r w:rsidRPr="00740AE4">
              <w:rPr>
                <w:rFonts w:ascii="Times New Roman" w:eastAsia="Times New Roman" w:hAnsi="Times New Roman" w:cs="Times New Roman"/>
                <w:sz w:val="24"/>
                <w:szCs w:val="24"/>
              </w:rPr>
              <w:t>Ответственный за профилактику коррупционных и иных правонарушений</w:t>
            </w:r>
          </w:p>
        </w:tc>
      </w:tr>
    </w:tbl>
    <w:p w:rsidR="007838AC" w:rsidRDefault="007838AC" w:rsidP="00141E16">
      <w:pPr>
        <w:spacing w:line="240" w:lineRule="auto"/>
      </w:pPr>
    </w:p>
    <w:sectPr w:rsidR="007838AC" w:rsidSect="00247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E4"/>
    <w:rsid w:val="00141E16"/>
    <w:rsid w:val="00247B01"/>
    <w:rsid w:val="00527FDC"/>
    <w:rsid w:val="00740AE4"/>
    <w:rsid w:val="00783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24E6"/>
  <w15:docId w15:val="{3C852181-A59F-432E-9694-A4AF4C9A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B01"/>
  </w:style>
  <w:style w:type="paragraph" w:styleId="3">
    <w:name w:val="heading 3"/>
    <w:basedOn w:val="a"/>
    <w:link w:val="30"/>
    <w:uiPriority w:val="9"/>
    <w:qFormat/>
    <w:rsid w:val="00740A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40AE4"/>
    <w:rPr>
      <w:rFonts w:ascii="Times New Roman" w:eastAsia="Times New Roman" w:hAnsi="Times New Roman" w:cs="Times New Roman"/>
      <w:b/>
      <w:bCs/>
      <w:sz w:val="27"/>
      <w:szCs w:val="27"/>
    </w:rPr>
  </w:style>
  <w:style w:type="paragraph" w:styleId="a3">
    <w:name w:val="No Spacing"/>
    <w:basedOn w:val="a"/>
    <w:uiPriority w:val="1"/>
    <w:qFormat/>
    <w:rsid w:val="00740A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808434">
      <w:bodyDiv w:val="1"/>
      <w:marLeft w:val="0"/>
      <w:marRight w:val="0"/>
      <w:marTop w:val="0"/>
      <w:marBottom w:val="0"/>
      <w:divBdr>
        <w:top w:val="none" w:sz="0" w:space="0" w:color="auto"/>
        <w:left w:val="none" w:sz="0" w:space="0" w:color="auto"/>
        <w:bottom w:val="none" w:sz="0" w:space="0" w:color="auto"/>
        <w:right w:val="none" w:sz="0" w:space="0" w:color="auto"/>
      </w:divBdr>
      <w:divsChild>
        <w:div w:id="1146362164">
          <w:marLeft w:val="-188"/>
          <w:marRight w:val="-188"/>
          <w:marTop w:val="0"/>
          <w:marBottom w:val="0"/>
          <w:divBdr>
            <w:top w:val="none" w:sz="0" w:space="0" w:color="auto"/>
            <w:left w:val="none" w:sz="0" w:space="0" w:color="auto"/>
            <w:bottom w:val="none" w:sz="0" w:space="0" w:color="auto"/>
            <w:right w:val="none" w:sz="0" w:space="0" w:color="auto"/>
          </w:divBdr>
          <w:divsChild>
            <w:div w:id="348992190">
              <w:marLeft w:val="0"/>
              <w:marRight w:val="0"/>
              <w:marTop w:val="0"/>
              <w:marBottom w:val="0"/>
              <w:divBdr>
                <w:top w:val="none" w:sz="0" w:space="0" w:color="auto"/>
                <w:left w:val="none" w:sz="0" w:space="0" w:color="auto"/>
                <w:bottom w:val="none" w:sz="0" w:space="0" w:color="auto"/>
                <w:right w:val="none" w:sz="0" w:space="0" w:color="auto"/>
              </w:divBdr>
              <w:divsChild>
                <w:div w:id="956791560">
                  <w:marLeft w:val="0"/>
                  <w:marRight w:val="0"/>
                  <w:marTop w:val="0"/>
                  <w:marBottom w:val="0"/>
                  <w:divBdr>
                    <w:top w:val="none" w:sz="0" w:space="0" w:color="auto"/>
                    <w:left w:val="none" w:sz="0" w:space="0" w:color="auto"/>
                    <w:bottom w:val="none" w:sz="0" w:space="0" w:color="auto"/>
                    <w:right w:val="none" w:sz="0" w:space="0" w:color="auto"/>
                  </w:divBdr>
                  <w:divsChild>
                    <w:div w:id="1823741378">
                      <w:marLeft w:val="-188"/>
                      <w:marRight w:val="-188"/>
                      <w:marTop w:val="0"/>
                      <w:marBottom w:val="0"/>
                      <w:divBdr>
                        <w:top w:val="none" w:sz="0" w:space="0" w:color="auto"/>
                        <w:left w:val="none" w:sz="0" w:space="0" w:color="auto"/>
                        <w:bottom w:val="none" w:sz="0" w:space="0" w:color="auto"/>
                        <w:right w:val="none" w:sz="0" w:space="0" w:color="auto"/>
                      </w:divBdr>
                      <w:divsChild>
                        <w:div w:id="788276673">
                          <w:marLeft w:val="0"/>
                          <w:marRight w:val="0"/>
                          <w:marTop w:val="0"/>
                          <w:marBottom w:val="0"/>
                          <w:divBdr>
                            <w:top w:val="none" w:sz="0" w:space="0" w:color="auto"/>
                            <w:left w:val="none" w:sz="0" w:space="0" w:color="auto"/>
                            <w:bottom w:val="none" w:sz="0" w:space="0" w:color="auto"/>
                            <w:right w:val="none" w:sz="0" w:space="0" w:color="auto"/>
                          </w:divBdr>
                          <w:divsChild>
                            <w:div w:id="14090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1951</Words>
  <Characters>11127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2</cp:revision>
  <cp:lastPrinted>2018-07-02T14:54:00Z</cp:lastPrinted>
  <dcterms:created xsi:type="dcterms:W3CDTF">2020-07-27T08:34:00Z</dcterms:created>
  <dcterms:modified xsi:type="dcterms:W3CDTF">2020-07-27T08:34:00Z</dcterms:modified>
</cp:coreProperties>
</file>